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beforeAutospacing="0" w:afterAutospacing="0" w:line="600" w:lineRule="exact"/>
        <w:ind w:left="0" w:leftChars="0" w:firstLine="0" w:firstLineChars="0"/>
        <w:jc w:val="both"/>
        <w:textAlignment w:val="auto"/>
        <w:rPr>
          <w:rStyle w:val="8"/>
          <w:rFonts w:hint="eastAsia" w:ascii="仿宋_GB2312" w:hAnsi="仿宋_GB2312" w:eastAsia="仿宋_GB2312" w:cs="仿宋_GB2312"/>
          <w:b w:val="0"/>
          <w:bCs/>
          <w:color w:val="auto"/>
          <w:sz w:val="32"/>
          <w:szCs w:val="32"/>
          <w:lang w:val="en-US" w:eastAsia="zh-CN"/>
        </w:rPr>
      </w:pPr>
      <w:r>
        <w:rPr>
          <w:rStyle w:val="8"/>
          <w:rFonts w:hint="eastAsia" w:ascii="仿宋_GB2312" w:hAnsi="仿宋_GB2312" w:eastAsia="仿宋_GB2312" w:cs="仿宋_GB2312"/>
          <w:b w:val="0"/>
          <w:bCs/>
          <w:color w:val="auto"/>
          <w:sz w:val="32"/>
          <w:szCs w:val="32"/>
          <w:lang w:eastAsia="zh-CN"/>
        </w:rPr>
        <w:t>附件</w:t>
      </w:r>
      <w:r>
        <w:rPr>
          <w:rStyle w:val="8"/>
          <w:rFonts w:hint="eastAsia" w:ascii="仿宋_GB2312" w:hAnsi="仿宋_GB2312" w:eastAsia="仿宋_GB2312" w:cs="仿宋_GB2312"/>
          <w:b w:val="0"/>
          <w:bCs/>
          <w:color w:val="auto"/>
          <w:sz w:val="32"/>
          <w:szCs w:val="32"/>
          <w:lang w:val="en-US" w:eastAsia="zh-CN"/>
        </w:rPr>
        <w:t>1</w:t>
      </w:r>
    </w:p>
    <w:p>
      <w:pPr>
        <w:pageBreakBefore w:val="0"/>
        <w:kinsoku/>
        <w:wordWrap/>
        <w:overflowPunct/>
        <w:topLinePunct w:val="0"/>
        <w:autoSpaceDE/>
        <w:autoSpaceDN/>
        <w:bidi w:val="0"/>
        <w:spacing w:beforeAutospacing="0" w:afterAutospacing="0" w:line="600" w:lineRule="exact"/>
        <w:ind w:firstLine="643"/>
        <w:jc w:val="center"/>
        <w:textAlignment w:val="auto"/>
        <w:rPr>
          <w:rStyle w:val="8"/>
          <w:rFonts w:hint="eastAsia" w:ascii="方正小标宋简体" w:hAnsi="方正小标宋简体" w:eastAsia="方正小标宋简体" w:cs="方正小标宋简体"/>
          <w:b/>
          <w:color w:val="auto"/>
          <w:sz w:val="44"/>
          <w:szCs w:val="44"/>
        </w:rPr>
      </w:pPr>
      <w:r>
        <w:rPr>
          <w:rStyle w:val="8"/>
          <w:rFonts w:hint="eastAsia" w:ascii="方正小标宋简体" w:hAnsi="方正小标宋简体" w:eastAsia="方正小标宋简体" w:cs="方正小标宋简体"/>
          <w:b/>
          <w:color w:val="auto"/>
          <w:sz w:val="44"/>
          <w:szCs w:val="44"/>
        </w:rPr>
        <w:t>广州市地震安全性评价信用管理办法</w:t>
      </w:r>
    </w:p>
    <w:p>
      <w:pPr>
        <w:pageBreakBefore w:val="0"/>
        <w:kinsoku/>
        <w:wordWrap/>
        <w:overflowPunct/>
        <w:topLinePunct w:val="0"/>
        <w:autoSpaceDE/>
        <w:autoSpaceDN/>
        <w:bidi w:val="0"/>
        <w:spacing w:beforeAutospacing="0" w:afterAutospacing="0" w:line="600" w:lineRule="exact"/>
        <w:ind w:firstLine="643"/>
        <w:jc w:val="center"/>
        <w:textAlignment w:val="auto"/>
        <w:rPr>
          <w:rStyle w:val="8"/>
          <w:rFonts w:hint="eastAsia" w:ascii="方正小标宋简体" w:hAnsi="方正小标宋简体" w:eastAsia="方正小标宋简体" w:cs="方正小标宋简体"/>
          <w:b/>
          <w:color w:val="auto"/>
          <w:sz w:val="44"/>
          <w:szCs w:val="44"/>
        </w:rPr>
      </w:pPr>
      <w:r>
        <w:rPr>
          <w:rStyle w:val="8"/>
          <w:rFonts w:hint="eastAsia" w:ascii="方正小标宋简体" w:hAnsi="方正小标宋简体" w:eastAsia="方正小标宋简体" w:cs="方正小标宋简体"/>
          <w:b/>
          <w:color w:val="auto"/>
          <w:sz w:val="44"/>
          <w:szCs w:val="44"/>
        </w:rPr>
        <w:t>（</w:t>
      </w:r>
      <w:r>
        <w:rPr>
          <w:rStyle w:val="8"/>
          <w:rFonts w:hint="eastAsia" w:ascii="方正小标宋简体" w:hAnsi="方正小标宋简体" w:eastAsia="方正小标宋简体" w:cs="方正小标宋简体"/>
          <w:b/>
          <w:color w:val="auto"/>
          <w:sz w:val="44"/>
          <w:szCs w:val="44"/>
          <w:lang w:eastAsia="zh-CN"/>
        </w:rPr>
        <w:t>征求意见稿</w:t>
      </w:r>
      <w:r>
        <w:rPr>
          <w:rStyle w:val="8"/>
          <w:rFonts w:hint="eastAsia" w:ascii="方正小标宋简体" w:hAnsi="方正小标宋简体" w:eastAsia="方正小标宋简体" w:cs="方正小标宋简体"/>
          <w:b/>
          <w:color w:val="auto"/>
          <w:sz w:val="44"/>
          <w:szCs w:val="44"/>
        </w:rPr>
        <w:t>）</w:t>
      </w:r>
    </w:p>
    <w:p>
      <w:pPr>
        <w:pageBreakBefore w:val="0"/>
        <w:kinsoku/>
        <w:wordWrap/>
        <w:overflowPunct/>
        <w:topLinePunct w:val="0"/>
        <w:autoSpaceDE/>
        <w:autoSpaceDN/>
        <w:bidi w:val="0"/>
        <w:spacing w:beforeAutospacing="0" w:afterAutospacing="0" w:line="600" w:lineRule="exact"/>
        <w:ind w:firstLine="643"/>
        <w:jc w:val="center"/>
        <w:textAlignment w:val="auto"/>
        <w:rPr>
          <w:rStyle w:val="8"/>
          <w:rFonts w:hint="eastAsia" w:ascii="方正小标宋简体" w:hAnsi="方正小标宋简体" w:eastAsia="方正小标宋简体" w:cs="方正小标宋简体"/>
          <w:b/>
          <w:color w:val="auto"/>
          <w:sz w:val="44"/>
          <w:szCs w:val="44"/>
        </w:rPr>
      </w:pPr>
    </w:p>
    <w:p>
      <w:pPr>
        <w:pStyle w:val="2"/>
        <w:pageBreakBefore w:val="0"/>
        <w:tabs>
          <w:tab w:val="left" w:pos="6084"/>
        </w:tabs>
        <w:kinsoku/>
        <w:wordWrap/>
        <w:overflowPunct/>
        <w:topLinePunct w:val="0"/>
        <w:autoSpaceDE/>
        <w:autoSpaceDN/>
        <w:bidi w:val="0"/>
        <w:spacing w:beforeAutospacing="0" w:afterAutospacing="0" w:line="600" w:lineRule="exact"/>
        <w:ind w:firstLine="0" w:firstLineChars="0"/>
        <w:textAlignment w:val="auto"/>
        <w:rPr>
          <w:rStyle w:val="9"/>
          <w:rFonts w:hint="default" w:ascii="楷体" w:hAnsi="楷体" w:eastAsia="楷体"/>
          <w:b/>
          <w:color w:val="auto"/>
        </w:rPr>
      </w:pPr>
      <w:r>
        <w:rPr>
          <w:rStyle w:val="9"/>
          <w:rFonts w:hint="default" w:ascii="楷体" w:hAnsi="楷体" w:eastAsia="楷体"/>
          <w:b/>
          <w:color w:val="auto"/>
        </w:rPr>
        <w:t xml:space="preserve">                  第一章 总则</w:t>
      </w: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第一条 【目的依据】</w:t>
      </w:r>
    </w:p>
    <w:p>
      <w:pPr>
        <w:pStyle w:val="3"/>
        <w:pageBreakBefore w:val="0"/>
        <w:kinsoku/>
        <w:wordWrap/>
        <w:overflowPunct/>
        <w:topLinePunct w:val="0"/>
        <w:autoSpaceDE/>
        <w:autoSpaceDN/>
        <w:bidi w:val="0"/>
        <w:spacing w:before="0" w:beforeAutospacing="0" w:afterAutospacing="0" w:line="600" w:lineRule="exact"/>
        <w:ind w:left="0"/>
        <w:jc w:val="both"/>
        <w:textAlignment w:val="auto"/>
        <w:rPr>
          <w:rStyle w:val="9"/>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color w:val="auto"/>
          <w:sz w:val="32"/>
          <w:szCs w:val="32"/>
          <w:lang w:eastAsia="zh-CN"/>
        </w:rPr>
        <w:t>为建立健全地震安全性评价信用体系，</w:t>
      </w:r>
      <w:bookmarkStart w:id="0" w:name="_Hlk118733495"/>
      <w:r>
        <w:rPr>
          <w:rStyle w:val="9"/>
          <w:rFonts w:hint="eastAsia" w:ascii="仿宋_GB2312" w:hAnsi="仿宋_GB2312" w:eastAsia="仿宋_GB2312" w:cs="仿宋_GB2312"/>
          <w:color w:val="auto"/>
          <w:sz w:val="32"/>
          <w:szCs w:val="32"/>
          <w:lang w:eastAsia="zh-CN"/>
        </w:rPr>
        <w:t>规范地震安全性</w:t>
      </w:r>
      <w:bookmarkStart w:id="7" w:name="_GoBack"/>
      <w:bookmarkEnd w:id="7"/>
      <w:r>
        <w:rPr>
          <w:rStyle w:val="9"/>
          <w:rFonts w:hint="eastAsia" w:ascii="仿宋_GB2312" w:hAnsi="仿宋_GB2312" w:eastAsia="仿宋_GB2312" w:cs="仿宋_GB2312"/>
          <w:color w:val="auto"/>
          <w:sz w:val="32"/>
          <w:szCs w:val="32"/>
          <w:lang w:eastAsia="zh-CN"/>
        </w:rPr>
        <w:t>评价市场秩序，营造诚信守法的市场环境</w:t>
      </w:r>
      <w:bookmarkEnd w:id="0"/>
      <w:r>
        <w:rPr>
          <w:rStyle w:val="9"/>
          <w:rFonts w:hint="eastAsia" w:ascii="仿宋_GB2312" w:hAnsi="仿宋_GB2312" w:eastAsia="仿宋_GB2312" w:cs="仿宋_GB2312"/>
          <w:color w:val="auto"/>
          <w:sz w:val="32"/>
          <w:szCs w:val="32"/>
          <w:lang w:eastAsia="zh-CN"/>
        </w:rPr>
        <w:t>，根据《中华人民共和国防震减灾法》《地震安全性评价管理条例》《地震安全性评价管理办法（暂行）》《广东省社会信用条例》《广州市公共信用信息管理规定》等相关法律法规，结合本市实际，制定本办法。</w:t>
      </w:r>
    </w:p>
    <w:p>
      <w:pPr>
        <w:pStyle w:val="3"/>
        <w:pageBreakBefore w:val="0"/>
        <w:kinsoku/>
        <w:wordWrap/>
        <w:overflowPunct/>
        <w:topLinePunct w:val="0"/>
        <w:autoSpaceDE/>
        <w:autoSpaceDN/>
        <w:bidi w:val="0"/>
        <w:spacing w:before="0" w:beforeAutospacing="0" w:afterAutospacing="0" w:line="600" w:lineRule="exact"/>
        <w:ind w:left="0"/>
        <w:jc w:val="both"/>
        <w:textAlignment w:val="auto"/>
        <w:rPr>
          <w:rStyle w:val="9"/>
          <w:rFonts w:hint="eastAsia" w:ascii="仿宋_GB2312" w:hAnsi="仿宋_GB2312" w:eastAsia="仿宋_GB2312" w:cs="仿宋_GB2312"/>
          <w:color w:val="auto"/>
          <w:sz w:val="32"/>
          <w:szCs w:val="32"/>
          <w:lang w:eastAsia="zh-CN"/>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第二条 【适用范围】</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在本市行政区域内从事地震安全性评价活动的单位信用信息的记录、归集、评价、发布及应用等，适用本办法。</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本办法所称地震安全性评价信用评价管理，是指地震工作主管部门根据本办法对地震安全评价从业单位在本市行政区域内开展地震安全性评价活动的信用信息情况进行量化评价，并根据评价结果实施差异化管理的活动。</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本办法所称的地震安全性评价从业人员，包括地震安全性评价项目负责人、技术负责人和报告编制人。</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 xml:space="preserve">第三条【管理职责】 </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广州市地震工作主管部门负责本市地震安全性评价信</w:t>
      </w:r>
      <w:r>
        <w:rPr>
          <w:rStyle w:val="9"/>
          <w:rFonts w:hint="eastAsia" w:ascii="仿宋_GB2312" w:hAnsi="仿宋_GB2312" w:eastAsia="仿宋_GB2312" w:cs="仿宋_GB2312"/>
          <w:color w:val="auto"/>
          <w:kern w:val="0"/>
          <w:sz w:val="32"/>
          <w:szCs w:val="32"/>
        </w:rPr>
        <w:t>用评价的制度建设、组织实施等工作，可委托第三方信用评价服务机构协助开展地震安全性评价信用评价。</w:t>
      </w:r>
    </w:p>
    <w:p>
      <w:pPr>
        <w:pStyle w:val="3"/>
        <w:pageBreakBefore w:val="0"/>
        <w:kinsoku/>
        <w:wordWrap/>
        <w:overflowPunct/>
        <w:topLinePunct w:val="0"/>
        <w:autoSpaceDE/>
        <w:autoSpaceDN/>
        <w:bidi w:val="0"/>
        <w:spacing w:before="0" w:beforeAutospacing="0" w:afterAutospacing="0" w:line="600" w:lineRule="exact"/>
        <w:ind w:left="0"/>
        <w:jc w:val="both"/>
        <w:textAlignment w:val="auto"/>
        <w:rPr>
          <w:rStyle w:val="9"/>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color w:val="auto"/>
          <w:sz w:val="32"/>
          <w:szCs w:val="32"/>
          <w:lang w:eastAsia="zh-CN"/>
        </w:rPr>
        <w:t>各区地震工作主管部门按照管理职责负责本辖区内地震安全性评价信用监督管理相关信息采集、审核和报送等工作。</w:t>
      </w:r>
    </w:p>
    <w:p>
      <w:pPr>
        <w:pStyle w:val="3"/>
        <w:pageBreakBefore w:val="0"/>
        <w:kinsoku/>
        <w:wordWrap/>
        <w:overflowPunct/>
        <w:topLinePunct w:val="0"/>
        <w:autoSpaceDE/>
        <w:autoSpaceDN/>
        <w:bidi w:val="0"/>
        <w:spacing w:before="0" w:beforeAutospacing="0" w:afterAutospacing="0" w:line="600" w:lineRule="exact"/>
        <w:ind w:left="0"/>
        <w:jc w:val="both"/>
        <w:textAlignment w:val="auto"/>
        <w:rPr>
          <w:rStyle w:val="9"/>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color w:val="auto"/>
          <w:sz w:val="32"/>
          <w:szCs w:val="32"/>
          <w:lang w:eastAsia="zh-CN"/>
        </w:rPr>
        <w:t>市、区地震工作主管部门根据信用评价等级结果开展分类监管。</w:t>
      </w:r>
    </w:p>
    <w:p>
      <w:pPr>
        <w:pStyle w:val="3"/>
        <w:pageBreakBefore w:val="0"/>
        <w:kinsoku/>
        <w:wordWrap/>
        <w:overflowPunct/>
        <w:topLinePunct w:val="0"/>
        <w:autoSpaceDE/>
        <w:autoSpaceDN/>
        <w:bidi w:val="0"/>
        <w:spacing w:before="0" w:beforeAutospacing="0" w:afterAutospacing="0" w:line="600" w:lineRule="exact"/>
        <w:ind w:left="0"/>
        <w:jc w:val="both"/>
        <w:textAlignment w:val="auto"/>
        <w:rPr>
          <w:rStyle w:val="9"/>
          <w:rFonts w:hint="eastAsia" w:ascii="仿宋_GB2312" w:hAnsi="仿宋_GB2312" w:eastAsia="仿宋_GB2312" w:cs="仿宋_GB2312"/>
          <w:color w:val="auto"/>
          <w:sz w:val="32"/>
          <w:szCs w:val="32"/>
          <w:lang w:eastAsia="zh-CN"/>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 xml:space="preserve">第四条【共享机制】 </w:t>
      </w:r>
    </w:p>
    <w:p>
      <w:pPr>
        <w:pStyle w:val="3"/>
        <w:pageBreakBefore w:val="0"/>
        <w:kinsoku/>
        <w:wordWrap/>
        <w:overflowPunct/>
        <w:topLinePunct w:val="0"/>
        <w:autoSpaceDE/>
        <w:autoSpaceDN/>
        <w:bidi w:val="0"/>
        <w:spacing w:before="0" w:beforeAutospacing="0" w:afterAutospacing="0" w:line="600" w:lineRule="exact"/>
        <w:ind w:left="0"/>
        <w:jc w:val="both"/>
        <w:textAlignment w:val="auto"/>
        <w:rPr>
          <w:rStyle w:val="9"/>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color w:val="auto"/>
          <w:sz w:val="32"/>
          <w:szCs w:val="32"/>
          <w:lang w:eastAsia="zh-CN"/>
        </w:rPr>
        <w:t>市、区地震工作主管部门应当与相关部门建立信用信息共建共享机制，并将</w:t>
      </w:r>
      <w:bookmarkStart w:id="1" w:name="_Hlk118732902"/>
      <w:r>
        <w:rPr>
          <w:rStyle w:val="9"/>
          <w:rFonts w:hint="eastAsia" w:ascii="仿宋_GB2312" w:hAnsi="仿宋_GB2312" w:eastAsia="仿宋_GB2312" w:cs="仿宋_GB2312"/>
          <w:color w:val="auto"/>
          <w:sz w:val="32"/>
          <w:szCs w:val="32"/>
          <w:lang w:eastAsia="zh-CN"/>
        </w:rPr>
        <w:t>地震安全性评价结果信息纳入市公共信用信息目录</w:t>
      </w:r>
      <w:bookmarkEnd w:id="1"/>
      <w:r>
        <w:rPr>
          <w:rStyle w:val="9"/>
          <w:rFonts w:hint="eastAsia" w:ascii="仿宋_GB2312" w:hAnsi="仿宋_GB2312" w:eastAsia="仿宋_GB2312" w:cs="仿宋_GB2312"/>
          <w:color w:val="auto"/>
          <w:sz w:val="32"/>
          <w:szCs w:val="32"/>
          <w:lang w:eastAsia="zh-CN"/>
        </w:rPr>
        <w:t>。</w:t>
      </w:r>
    </w:p>
    <w:p>
      <w:pPr>
        <w:pStyle w:val="3"/>
        <w:pageBreakBefore w:val="0"/>
        <w:numPr>
          <w:ilvl w:val="255"/>
          <w:numId w:val="0"/>
        </w:numPr>
        <w:kinsoku/>
        <w:wordWrap/>
        <w:overflowPunct/>
        <w:topLinePunct w:val="0"/>
        <w:autoSpaceDE/>
        <w:autoSpaceDN/>
        <w:bidi w:val="0"/>
        <w:spacing w:before="0" w:beforeAutospacing="0" w:afterAutospacing="0" w:line="600" w:lineRule="exact"/>
        <w:jc w:val="both"/>
        <w:textAlignment w:val="auto"/>
        <w:rPr>
          <w:rStyle w:val="9"/>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color w:val="auto"/>
          <w:sz w:val="32"/>
          <w:szCs w:val="32"/>
          <w:lang w:eastAsia="zh-CN"/>
        </w:rPr>
        <w:t xml:space="preserve">  </w:t>
      </w:r>
    </w:p>
    <w:p>
      <w:pPr>
        <w:pStyle w:val="2"/>
        <w:pageBreakBefore w:val="0"/>
        <w:tabs>
          <w:tab w:val="left" w:pos="6084"/>
        </w:tabs>
        <w:kinsoku/>
        <w:wordWrap/>
        <w:overflowPunct/>
        <w:topLinePunct w:val="0"/>
        <w:autoSpaceDE/>
        <w:autoSpaceDN/>
        <w:bidi w:val="0"/>
        <w:spacing w:beforeAutospacing="0" w:afterAutospacing="0" w:line="600" w:lineRule="exact"/>
        <w:ind w:firstLine="0" w:firstLineChars="0"/>
        <w:jc w:val="center"/>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第二章 评价内容</w:t>
      </w: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bCs w:val="0"/>
          <w:color w:val="auto"/>
          <w:sz w:val="32"/>
          <w:szCs w:val="32"/>
        </w:rPr>
      </w:pPr>
      <w:r>
        <w:rPr>
          <w:rStyle w:val="9"/>
          <w:rFonts w:hint="eastAsia" w:ascii="仿宋_GB2312" w:hAnsi="仿宋_GB2312" w:eastAsia="仿宋_GB2312" w:cs="仿宋_GB2312"/>
          <w:b/>
          <w:color w:val="auto"/>
          <w:sz w:val="32"/>
          <w:szCs w:val="32"/>
        </w:rPr>
        <w:t>第五条【信息分类】</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地震安全性评价从业信用信息包括基础信息、守信信息、失信信息和提示信息。</w:t>
      </w:r>
    </w:p>
    <w:p>
      <w:pPr>
        <w:pageBreakBefore w:val="0"/>
        <w:kinsoku/>
        <w:wordWrap/>
        <w:overflowPunct/>
        <w:topLinePunct w:val="0"/>
        <w:autoSpaceDE/>
        <w:autoSpaceDN/>
        <w:bidi w:val="0"/>
        <w:spacing w:beforeAutospacing="0" w:afterAutospacing="0" w:line="600" w:lineRule="exact"/>
        <w:ind w:firstLine="42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 xml:space="preserve">第六条 【基础信息】  </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下列信息作为基础信息记入地震安全性评价从业单位信用档案：地震安全性评价从业单位的名称、法定代表人或者负责人姓名、统一社会信用代码等登记注册基本信息。</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第七条 【守信信息】</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下列信息作为守信信息记入地震安全性评价从业单位信用档案：</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（一）地震安全性评价从业单位获得的行政机关、法律法规授权的具有管理公共事务职能的组织授予的，与地震安全性评价相关的表彰、奖励等信息；</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（二）法律、法规、规章规定的其他有关地震安全性评价的守信信息。</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第八条 【失信信息】</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广州市地震工作主管部门依据法律、法规或国家有关规定可以作为失信行为认定依据的文书等，认定下列信息为失信信息并记入其信用档案：</w:t>
      </w:r>
    </w:p>
    <w:p>
      <w:pPr>
        <w:pStyle w:val="10"/>
        <w:pageBreakBefore w:val="0"/>
        <w:numPr>
          <w:ilvl w:val="0"/>
          <w:numId w:val="1"/>
        </w:numPr>
        <w:kinsoku/>
        <w:wordWrap/>
        <w:overflowPunct/>
        <w:topLinePunct w:val="0"/>
        <w:autoSpaceDE/>
        <w:autoSpaceDN/>
        <w:bidi w:val="0"/>
        <w:spacing w:beforeAutospacing="0" w:afterAutospacing="0" w:line="600" w:lineRule="exact"/>
        <w:ind w:left="0" w:firstLine="640"/>
        <w:jc w:val="left"/>
        <w:textAlignment w:val="auto"/>
        <w:rPr>
          <w:rStyle w:val="9"/>
          <w:rFonts w:hint="eastAsia" w:ascii="仿宋_GB2312" w:hAnsi="仿宋_GB2312" w:eastAsia="仿宋_GB2312" w:cs="仿宋_GB2312"/>
          <w:color w:val="auto"/>
          <w:sz w:val="32"/>
          <w:szCs w:val="32"/>
        </w:rPr>
      </w:pPr>
      <w:bookmarkStart w:id="2" w:name="_Hlk114060116"/>
      <w:r>
        <w:rPr>
          <w:rStyle w:val="9"/>
          <w:rFonts w:hint="eastAsia" w:ascii="仿宋_GB2312" w:hAnsi="仿宋_GB2312" w:eastAsia="仿宋_GB2312" w:cs="仿宋_GB2312"/>
          <w:color w:val="auto"/>
          <w:sz w:val="32"/>
          <w:szCs w:val="32"/>
        </w:rPr>
        <w:t>以其他地震安全性评价单位的名义承揽地震安全性评价业务的信息</w:t>
      </w:r>
      <w:bookmarkEnd w:id="2"/>
      <w:r>
        <w:rPr>
          <w:rStyle w:val="9"/>
          <w:rFonts w:hint="eastAsia" w:ascii="仿宋_GB2312" w:hAnsi="仿宋_GB2312" w:eastAsia="仿宋_GB2312" w:cs="仿宋_GB2312"/>
          <w:color w:val="auto"/>
          <w:sz w:val="32"/>
          <w:szCs w:val="32"/>
        </w:rPr>
        <w:t>；</w:t>
      </w:r>
    </w:p>
    <w:p>
      <w:pPr>
        <w:pStyle w:val="10"/>
        <w:pageBreakBefore w:val="0"/>
        <w:numPr>
          <w:ilvl w:val="0"/>
          <w:numId w:val="1"/>
        </w:numPr>
        <w:kinsoku/>
        <w:wordWrap/>
        <w:overflowPunct/>
        <w:topLinePunct w:val="0"/>
        <w:autoSpaceDE/>
        <w:autoSpaceDN/>
        <w:bidi w:val="0"/>
        <w:spacing w:beforeAutospacing="0" w:afterAutospacing="0" w:line="600" w:lineRule="exact"/>
        <w:ind w:left="0" w:firstLine="640"/>
        <w:jc w:val="left"/>
        <w:textAlignment w:val="auto"/>
        <w:rPr>
          <w:rStyle w:val="9"/>
          <w:rFonts w:hint="eastAsia" w:ascii="仿宋_GB2312" w:hAnsi="仿宋_GB2312" w:eastAsia="仿宋_GB2312" w:cs="仿宋_GB2312"/>
          <w:color w:val="auto"/>
          <w:sz w:val="32"/>
          <w:szCs w:val="32"/>
        </w:rPr>
      </w:pPr>
      <w:bookmarkStart w:id="3" w:name="_Hlk114060130"/>
      <w:r>
        <w:rPr>
          <w:rStyle w:val="9"/>
          <w:rFonts w:hint="eastAsia" w:ascii="仿宋_GB2312" w:hAnsi="仿宋_GB2312" w:eastAsia="仿宋_GB2312" w:cs="仿宋_GB2312"/>
          <w:color w:val="auto"/>
          <w:sz w:val="32"/>
          <w:szCs w:val="32"/>
        </w:rPr>
        <w:t>允许其他单位以本单位名义承揽地震安全性评价业务的信息</w:t>
      </w:r>
      <w:bookmarkEnd w:id="3"/>
      <w:r>
        <w:rPr>
          <w:rStyle w:val="9"/>
          <w:rFonts w:hint="eastAsia" w:ascii="仿宋_GB2312" w:hAnsi="仿宋_GB2312" w:eastAsia="仿宋_GB2312" w:cs="仿宋_GB2312"/>
          <w:color w:val="auto"/>
          <w:sz w:val="32"/>
          <w:szCs w:val="32"/>
        </w:rPr>
        <w:t>；</w:t>
      </w:r>
    </w:p>
    <w:p>
      <w:pPr>
        <w:pStyle w:val="10"/>
        <w:pageBreakBefore w:val="0"/>
        <w:numPr>
          <w:ilvl w:val="0"/>
          <w:numId w:val="1"/>
        </w:numPr>
        <w:kinsoku/>
        <w:wordWrap/>
        <w:overflowPunct/>
        <w:topLinePunct w:val="0"/>
        <w:autoSpaceDE/>
        <w:autoSpaceDN/>
        <w:bidi w:val="0"/>
        <w:spacing w:beforeAutospacing="0" w:afterAutospacing="0" w:line="600" w:lineRule="exact"/>
        <w:ind w:left="0"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在地震安全性评价实施过程中发生一般及以上安全生产事故且负主要责任的信息；</w:t>
      </w:r>
    </w:p>
    <w:p>
      <w:pPr>
        <w:pStyle w:val="10"/>
        <w:pageBreakBefore w:val="0"/>
        <w:numPr>
          <w:ilvl w:val="0"/>
          <w:numId w:val="1"/>
        </w:numPr>
        <w:kinsoku/>
        <w:wordWrap/>
        <w:overflowPunct/>
        <w:topLinePunct w:val="0"/>
        <w:autoSpaceDE/>
        <w:autoSpaceDN/>
        <w:bidi w:val="0"/>
        <w:spacing w:beforeAutospacing="0" w:afterAutospacing="0" w:line="600" w:lineRule="exact"/>
        <w:ind w:left="0"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依法依规认定的其他与地震安全性评价活动有关的失信信息。</w:t>
      </w: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第九条 【提示信息】</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下列信息作为提示信息记入地震安全性评价从业单位信用档案：</w:t>
      </w:r>
    </w:p>
    <w:p>
      <w:pPr>
        <w:pStyle w:val="10"/>
        <w:pageBreakBefore w:val="0"/>
        <w:numPr>
          <w:ilvl w:val="0"/>
          <w:numId w:val="2"/>
        </w:numPr>
        <w:kinsoku/>
        <w:wordWrap/>
        <w:overflowPunct/>
        <w:topLinePunct w:val="0"/>
        <w:autoSpaceDE/>
        <w:autoSpaceDN/>
        <w:bidi w:val="0"/>
        <w:spacing w:beforeAutospacing="0" w:afterAutospacing="0" w:line="600" w:lineRule="exact"/>
        <w:ind w:left="0"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地震安全性评价从业人员学历状况、职业资格；</w:t>
      </w:r>
    </w:p>
    <w:p>
      <w:pPr>
        <w:pStyle w:val="10"/>
        <w:pageBreakBefore w:val="0"/>
        <w:numPr>
          <w:ilvl w:val="0"/>
          <w:numId w:val="2"/>
        </w:numPr>
        <w:kinsoku/>
        <w:wordWrap/>
        <w:overflowPunct/>
        <w:topLinePunct w:val="0"/>
        <w:autoSpaceDE/>
        <w:autoSpaceDN/>
        <w:bidi w:val="0"/>
        <w:spacing w:beforeAutospacing="0" w:afterAutospacing="0" w:line="600" w:lineRule="exact"/>
        <w:ind w:left="0"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地震安全性评价从业单位</w:t>
      </w:r>
      <w:bookmarkStart w:id="4" w:name="_Hlk117092205"/>
      <w:r>
        <w:rPr>
          <w:rStyle w:val="9"/>
          <w:rFonts w:hint="eastAsia" w:ascii="仿宋_GB2312" w:hAnsi="仿宋_GB2312" w:eastAsia="仿宋_GB2312" w:cs="仿宋_GB2312"/>
          <w:color w:val="auto"/>
          <w:sz w:val="32"/>
          <w:szCs w:val="32"/>
        </w:rPr>
        <w:t>信用承诺及履行情况信息</w:t>
      </w:r>
      <w:bookmarkEnd w:id="4"/>
      <w:r>
        <w:rPr>
          <w:rStyle w:val="9"/>
          <w:rFonts w:hint="eastAsia" w:ascii="仿宋_GB2312" w:hAnsi="仿宋_GB2312" w:eastAsia="仿宋_GB2312" w:cs="仿宋_GB2312"/>
          <w:color w:val="auto"/>
          <w:sz w:val="32"/>
          <w:szCs w:val="32"/>
        </w:rPr>
        <w:t>；</w:t>
      </w:r>
    </w:p>
    <w:p>
      <w:pPr>
        <w:pStyle w:val="10"/>
        <w:pageBreakBefore w:val="0"/>
        <w:numPr>
          <w:ilvl w:val="0"/>
          <w:numId w:val="2"/>
        </w:numPr>
        <w:kinsoku/>
        <w:wordWrap/>
        <w:overflowPunct/>
        <w:topLinePunct w:val="0"/>
        <w:autoSpaceDE/>
        <w:autoSpaceDN/>
        <w:bidi w:val="0"/>
        <w:spacing w:beforeAutospacing="0" w:afterAutospacing="0" w:line="600" w:lineRule="exact"/>
        <w:ind w:left="0"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市、区地震工作主管部门对地震安全性评价工作的检查抽查信息；</w:t>
      </w:r>
    </w:p>
    <w:p>
      <w:pPr>
        <w:pStyle w:val="10"/>
        <w:pageBreakBefore w:val="0"/>
        <w:numPr>
          <w:ilvl w:val="0"/>
          <w:numId w:val="2"/>
        </w:numPr>
        <w:kinsoku/>
        <w:wordWrap/>
        <w:overflowPunct/>
        <w:topLinePunct w:val="0"/>
        <w:autoSpaceDE/>
        <w:autoSpaceDN/>
        <w:bidi w:val="0"/>
        <w:spacing w:beforeAutospacing="0" w:afterAutospacing="0" w:line="600" w:lineRule="exact"/>
        <w:ind w:left="0"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地震安全性评价从业单位</w:t>
      </w:r>
      <w:bookmarkStart w:id="5" w:name="_Hlk114133865"/>
      <w:r>
        <w:rPr>
          <w:rStyle w:val="9"/>
          <w:rFonts w:hint="eastAsia" w:ascii="仿宋_GB2312" w:hAnsi="仿宋_GB2312" w:eastAsia="仿宋_GB2312" w:cs="仿宋_GB2312"/>
          <w:color w:val="auto"/>
          <w:sz w:val="32"/>
          <w:szCs w:val="32"/>
        </w:rPr>
        <w:t>技术条件、管理信息、经营业绩等信息。</w:t>
      </w:r>
    </w:p>
    <w:bookmarkEnd w:id="5"/>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p>
    <w:p>
      <w:pPr>
        <w:pStyle w:val="2"/>
        <w:pageBreakBefore w:val="0"/>
        <w:tabs>
          <w:tab w:val="left" w:pos="6084"/>
        </w:tabs>
        <w:kinsoku/>
        <w:wordWrap/>
        <w:overflowPunct/>
        <w:topLinePunct w:val="0"/>
        <w:autoSpaceDE/>
        <w:autoSpaceDN/>
        <w:bidi w:val="0"/>
        <w:spacing w:beforeAutospacing="0" w:afterAutospacing="0" w:line="600" w:lineRule="exact"/>
        <w:ind w:firstLine="0" w:firstLineChars="0"/>
        <w:jc w:val="center"/>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第三章 信用信息采集</w:t>
      </w: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第十条 【采集方式】</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信用信息的采集方式分为地震安全性评价从业单位自主申报、地震工作主管部门采集。</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基础信息、守信信息由地震安全性评价从业单位自主申报；失信信息由地震工作主管部门采集；提示信息由地震安全性评价从业单位申报或地震工作主管部门采集。</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第十一条 【信息申报要求】</w:t>
      </w:r>
    </w:p>
    <w:p>
      <w:pPr>
        <w:pStyle w:val="3"/>
        <w:pageBreakBefore w:val="0"/>
        <w:kinsoku/>
        <w:wordWrap/>
        <w:overflowPunct/>
        <w:topLinePunct w:val="0"/>
        <w:autoSpaceDE/>
        <w:autoSpaceDN/>
        <w:bidi w:val="0"/>
        <w:spacing w:before="0" w:beforeAutospacing="0" w:afterAutospacing="0" w:line="600" w:lineRule="exact"/>
        <w:ind w:left="0"/>
        <w:jc w:val="both"/>
        <w:textAlignment w:val="auto"/>
        <w:rPr>
          <w:rStyle w:val="9"/>
          <w:rFonts w:hint="eastAsia" w:ascii="仿宋_GB2312" w:hAnsi="仿宋_GB2312" w:eastAsia="仿宋_GB2312" w:cs="仿宋_GB2312"/>
          <w:color w:val="auto"/>
          <w:sz w:val="32"/>
          <w:szCs w:val="32"/>
          <w:lang w:eastAsia="zh-CN"/>
        </w:rPr>
      </w:pPr>
      <w:r>
        <w:rPr>
          <w:rStyle w:val="9"/>
          <w:rFonts w:hint="eastAsia" w:ascii="仿宋_GB2312" w:hAnsi="仿宋_GB2312" w:eastAsia="仿宋_GB2312" w:cs="仿宋_GB2312"/>
          <w:color w:val="auto"/>
          <w:sz w:val="32"/>
          <w:szCs w:val="32"/>
          <w:lang w:eastAsia="zh-CN"/>
        </w:rPr>
        <w:t>地震安全性评价从业单位在本市行政区范围内开展地震安全性评价工作之前，应向市地震工作主管部门提交基础信息、地震安全性评价从业人员信息、技术条件、管理信息等，并对信息真实性进行承诺。</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由地震安全性评价从业单位自主申报的相关信用信息因申报不及时造成信用信息评价期限缩短或超期作废的，由从业单位自行承担相应后果，超期提交造成不良影响的应按信用信息评价标准进行扣分。</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地震安全性评价从业单位停业、关闭或退出广州市地震安全性评价市场而无法参评的，应自上述情况发生后10个工作日书面告知市地震工作部门，并提交相关证明材料。</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p>
    <w:p>
      <w:pPr>
        <w:pStyle w:val="2"/>
        <w:pageBreakBefore w:val="0"/>
        <w:tabs>
          <w:tab w:val="left" w:pos="6084"/>
        </w:tabs>
        <w:kinsoku/>
        <w:wordWrap/>
        <w:overflowPunct/>
        <w:topLinePunct w:val="0"/>
        <w:autoSpaceDE/>
        <w:autoSpaceDN/>
        <w:bidi w:val="0"/>
        <w:spacing w:beforeAutospacing="0" w:afterAutospacing="0" w:line="600" w:lineRule="exact"/>
        <w:ind w:firstLine="0" w:firstLineChars="0"/>
        <w:jc w:val="center"/>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color w:val="auto"/>
          <w:sz w:val="32"/>
          <w:szCs w:val="32"/>
        </w:rPr>
        <w:t> </w:t>
      </w:r>
      <w:r>
        <w:rPr>
          <w:rStyle w:val="9"/>
          <w:rFonts w:hint="eastAsia" w:ascii="仿宋_GB2312" w:hAnsi="仿宋_GB2312" w:eastAsia="仿宋_GB2312" w:cs="仿宋_GB2312"/>
          <w:b/>
          <w:color w:val="auto"/>
          <w:sz w:val="32"/>
          <w:szCs w:val="32"/>
        </w:rPr>
        <w:t>第四章  评价实施和结果应用</w:t>
      </w:r>
    </w:p>
    <w:p>
      <w:pPr>
        <w:pStyle w:val="3"/>
        <w:pageBreakBefore w:val="0"/>
        <w:kinsoku/>
        <w:wordWrap/>
        <w:overflowPunct/>
        <w:topLinePunct w:val="0"/>
        <w:autoSpaceDE/>
        <w:autoSpaceDN/>
        <w:bidi w:val="0"/>
        <w:spacing w:beforeAutospacing="0" w:afterAutospacing="0" w:line="600" w:lineRule="exact"/>
        <w:ind w:firstLine="480"/>
        <w:textAlignment w:val="auto"/>
        <w:rPr>
          <w:rFonts w:hint="eastAsia" w:ascii="仿宋_GB2312" w:hAnsi="仿宋_GB2312" w:eastAsia="仿宋_GB2312" w:cs="仿宋_GB2312"/>
          <w:sz w:val="32"/>
          <w:szCs w:val="32"/>
          <w:lang w:eastAsia="zh-CN"/>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第十二条【评价方式】</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广州市地震工作主管部门按本办法附件中的评价指标对地震安全性评价从业单位进行信用评价，采取百分制，总分100分，最低分0分。地震安全性评价从业单位信用评价结果分为三个等级：</w:t>
      </w:r>
    </w:p>
    <w:p>
      <w:pPr>
        <w:pageBreakBefore w:val="0"/>
        <w:numPr>
          <w:ilvl w:val="0"/>
          <w:numId w:val="3"/>
        </w:numPr>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A 级：信用评分80分以上（含）；</w:t>
      </w:r>
    </w:p>
    <w:p>
      <w:pPr>
        <w:pageBreakBefore w:val="0"/>
        <w:numPr>
          <w:ilvl w:val="0"/>
          <w:numId w:val="3"/>
        </w:numPr>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B 级：信用评分60分以上（含）且不满80分的；</w:t>
      </w:r>
    </w:p>
    <w:p>
      <w:pPr>
        <w:pageBreakBefore w:val="0"/>
        <w:numPr>
          <w:ilvl w:val="0"/>
          <w:numId w:val="3"/>
        </w:numPr>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C级：信用评分不满60分的。</w:t>
      </w:r>
    </w:p>
    <w:p>
      <w:pPr>
        <w:pageBreakBefore w:val="0"/>
        <w:kinsoku/>
        <w:wordWrap/>
        <w:overflowPunct/>
        <w:topLinePunct w:val="0"/>
        <w:autoSpaceDE/>
        <w:autoSpaceDN/>
        <w:bidi w:val="0"/>
        <w:spacing w:beforeAutospacing="0" w:afterAutospacing="0" w:line="600" w:lineRule="exact"/>
        <w:ind w:left="640" w:firstLine="640"/>
        <w:jc w:val="left"/>
        <w:textAlignment w:val="auto"/>
        <w:rPr>
          <w:rStyle w:val="9"/>
          <w:rFonts w:hint="eastAsia" w:ascii="仿宋_GB2312" w:hAnsi="仿宋_GB2312" w:eastAsia="仿宋_GB2312" w:cs="仿宋_GB2312"/>
          <w:color w:val="auto"/>
          <w:sz w:val="32"/>
          <w:szCs w:val="32"/>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第十三条【评价周期】</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地震安全性评价信用评价每年开展一次，对地震安全性评价从业单位上一年度（1月1日至12月31日）的信用行为进行评价。</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第十四条【评价结果公示】</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地震安全性评价从业单位年度信用等级通过市地震工作主管部门网站、信用广州等平台，依法依规统一向社会公布。</w:t>
      </w: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第十五条 【结果应用】</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市、区地震工作部门按照信用评价结果对地震安全性评价从业单位实施分级分类监督管理以及法律、法规、规章规定的其他激励性措施。</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bCs/>
          <w:color w:val="auto"/>
          <w:sz w:val="32"/>
          <w:szCs w:val="32"/>
        </w:rPr>
      </w:pPr>
      <w:r>
        <w:rPr>
          <w:rStyle w:val="9"/>
          <w:rFonts w:hint="eastAsia" w:ascii="仿宋_GB2312" w:hAnsi="仿宋_GB2312" w:eastAsia="仿宋_GB2312" w:cs="仿宋_GB2312"/>
          <w:bCs/>
          <w:color w:val="auto"/>
          <w:sz w:val="32"/>
          <w:szCs w:val="32"/>
        </w:rPr>
        <w:t>（一）诚信A级</w:t>
      </w:r>
      <w:r>
        <w:rPr>
          <w:rStyle w:val="9"/>
          <w:rFonts w:hint="eastAsia" w:ascii="仿宋_GB2312" w:hAnsi="仿宋_GB2312" w:eastAsia="仿宋_GB2312" w:cs="仿宋_GB2312"/>
          <w:color w:val="auto"/>
          <w:sz w:val="32"/>
          <w:szCs w:val="32"/>
        </w:rPr>
        <w:t>地震安全性评价从业单位</w:t>
      </w:r>
      <w:r>
        <w:rPr>
          <w:rStyle w:val="9"/>
          <w:rFonts w:hint="eastAsia" w:ascii="仿宋_GB2312" w:hAnsi="仿宋_GB2312" w:eastAsia="仿宋_GB2312" w:cs="仿宋_GB2312"/>
          <w:bCs/>
          <w:color w:val="auto"/>
          <w:sz w:val="32"/>
          <w:szCs w:val="32"/>
        </w:rPr>
        <w:t>实行激励机制，优化对其监督检查的频率，评优评先时优先推荐；</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bCs/>
          <w:color w:val="auto"/>
          <w:sz w:val="32"/>
          <w:szCs w:val="32"/>
        </w:rPr>
      </w:pPr>
      <w:r>
        <w:rPr>
          <w:rStyle w:val="9"/>
          <w:rFonts w:hint="eastAsia" w:ascii="仿宋_GB2312" w:hAnsi="仿宋_GB2312" w:eastAsia="仿宋_GB2312" w:cs="仿宋_GB2312"/>
          <w:bCs/>
          <w:color w:val="auto"/>
          <w:sz w:val="32"/>
          <w:szCs w:val="32"/>
        </w:rPr>
        <w:t>（二）诚信B级</w:t>
      </w:r>
      <w:r>
        <w:rPr>
          <w:rStyle w:val="9"/>
          <w:rFonts w:hint="eastAsia" w:ascii="仿宋_GB2312" w:hAnsi="仿宋_GB2312" w:eastAsia="仿宋_GB2312" w:cs="仿宋_GB2312"/>
          <w:color w:val="auto"/>
          <w:sz w:val="32"/>
          <w:szCs w:val="32"/>
        </w:rPr>
        <w:t>地震安全性评价从业单位</w:t>
      </w:r>
      <w:r>
        <w:rPr>
          <w:rStyle w:val="9"/>
          <w:rFonts w:hint="eastAsia" w:ascii="仿宋_GB2312" w:hAnsi="仿宋_GB2312" w:eastAsia="仿宋_GB2312" w:cs="仿宋_GB2312"/>
          <w:bCs/>
          <w:color w:val="auto"/>
          <w:sz w:val="32"/>
          <w:szCs w:val="32"/>
        </w:rPr>
        <w:t>实行常态化监督检查管理；</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bCs/>
          <w:color w:val="auto"/>
          <w:sz w:val="32"/>
          <w:szCs w:val="32"/>
        </w:rPr>
      </w:pPr>
      <w:r>
        <w:rPr>
          <w:rStyle w:val="9"/>
          <w:rFonts w:hint="eastAsia" w:ascii="仿宋_GB2312" w:hAnsi="仿宋_GB2312" w:eastAsia="仿宋_GB2312" w:cs="仿宋_GB2312"/>
          <w:bCs/>
          <w:color w:val="auto"/>
          <w:sz w:val="32"/>
          <w:szCs w:val="32"/>
        </w:rPr>
        <w:t>（三）诚信C级</w:t>
      </w:r>
      <w:r>
        <w:rPr>
          <w:rStyle w:val="9"/>
          <w:rFonts w:hint="eastAsia" w:ascii="仿宋_GB2312" w:hAnsi="仿宋_GB2312" w:eastAsia="仿宋_GB2312" w:cs="仿宋_GB2312"/>
          <w:color w:val="auto"/>
          <w:sz w:val="32"/>
          <w:szCs w:val="32"/>
        </w:rPr>
        <w:t>地震安全性评价从业单位</w:t>
      </w:r>
      <w:r>
        <w:rPr>
          <w:rStyle w:val="9"/>
          <w:rFonts w:hint="eastAsia" w:ascii="仿宋_GB2312" w:hAnsi="仿宋_GB2312" w:eastAsia="仿宋_GB2312" w:cs="仿宋_GB2312"/>
          <w:bCs/>
          <w:color w:val="auto"/>
          <w:sz w:val="32"/>
          <w:szCs w:val="32"/>
        </w:rPr>
        <w:t>作为重点监管对象，适当增加监督检查的频率。</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bCs/>
          <w:color w:val="auto"/>
          <w:sz w:val="32"/>
          <w:szCs w:val="32"/>
        </w:rPr>
      </w:pPr>
    </w:p>
    <w:p>
      <w:pPr>
        <w:pStyle w:val="2"/>
        <w:pageBreakBefore w:val="0"/>
        <w:tabs>
          <w:tab w:val="left" w:pos="6084"/>
        </w:tabs>
        <w:kinsoku/>
        <w:wordWrap/>
        <w:overflowPunct/>
        <w:topLinePunct w:val="0"/>
        <w:autoSpaceDE/>
        <w:autoSpaceDN/>
        <w:bidi w:val="0"/>
        <w:spacing w:beforeAutospacing="0" w:afterAutospacing="0" w:line="600" w:lineRule="exact"/>
        <w:ind w:firstLine="0" w:firstLineChars="0"/>
        <w:jc w:val="center"/>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第五章  权益保护</w:t>
      </w:r>
    </w:p>
    <w:p>
      <w:pPr>
        <w:pStyle w:val="2"/>
        <w:pageBreakBefore w:val="0"/>
        <w:kinsoku/>
        <w:wordWrap/>
        <w:overflowPunct/>
        <w:topLinePunct w:val="0"/>
        <w:autoSpaceDE/>
        <w:autoSpaceDN/>
        <w:bidi w:val="0"/>
        <w:spacing w:beforeAutospacing="0" w:afterAutospacing="0" w:line="600" w:lineRule="exact"/>
        <w:ind w:firstLine="643"/>
        <w:textAlignment w:val="auto"/>
        <w:rPr>
          <w:rFonts w:hint="eastAsia" w:ascii="仿宋_GB2312" w:hAnsi="仿宋_GB2312" w:eastAsia="仿宋_GB2312" w:cs="仿宋_GB2312"/>
          <w:b/>
          <w:sz w:val="32"/>
          <w:szCs w:val="32"/>
        </w:rPr>
      </w:pPr>
      <w:r>
        <w:rPr>
          <w:rStyle w:val="9"/>
          <w:rFonts w:hint="eastAsia" w:ascii="仿宋_GB2312" w:hAnsi="仿宋_GB2312" w:eastAsia="仿宋_GB2312" w:cs="仿宋_GB2312"/>
          <w:b/>
          <w:color w:val="auto"/>
          <w:sz w:val="32"/>
          <w:szCs w:val="32"/>
        </w:rPr>
        <w:t>第十六条【评价结果的异议处理】</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地震安全性评价从业单位对其信用评价结果有异议的，可书面向市地震工作主管部门提出申请，并提交有关材料。</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市地震工作主管部门自收到异议申请之日起10个工作日内完成核查，作出异议处理决定书并告知申请人。异议处理需进行检验、检测、鉴定或者专家评审的，其时间不计入异议申请办理时间。</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申请人对异议处理结果不服的，可以向上一级地震工作主管部门提出复核。</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异议申请处理期间，应当对存在异议的信息予以标注。</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第十七条 【信用修复】</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地震安全性评价从业单位主动纠正其失信行为、消除不良影响，按照有关规定进行失信信息信用修复后，市地震工作主管部门及时在评价结果中标注信用修复情况。</w:t>
      </w:r>
    </w:p>
    <w:p>
      <w:pPr>
        <w:pageBreakBefore w:val="0"/>
        <w:kinsoku/>
        <w:wordWrap/>
        <w:overflowPunct/>
        <w:topLinePunct w:val="0"/>
        <w:autoSpaceDE/>
        <w:autoSpaceDN/>
        <w:bidi w:val="0"/>
        <w:spacing w:beforeAutospacing="0" w:afterAutospacing="0" w:line="600" w:lineRule="exact"/>
        <w:ind w:firstLine="480"/>
        <w:jc w:val="left"/>
        <w:textAlignment w:val="auto"/>
        <w:rPr>
          <w:rFonts w:hint="eastAsia" w:ascii="仿宋_GB2312" w:hAnsi="仿宋_GB2312" w:eastAsia="仿宋_GB2312" w:cs="仿宋_GB2312"/>
          <w:kern w:val="0"/>
          <w:sz w:val="32"/>
          <w:szCs w:val="32"/>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第十八条 【信息安全】</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各级地震工作主管部门须依法履行信用信息安全保护义务，不得危害国家安全、公共安全和公共利益，不得泄露国家秘密、商业秘密与个人隐私，确保信息安全。</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p>
    <w:p>
      <w:pPr>
        <w:pStyle w:val="2"/>
        <w:pageBreakBefore w:val="0"/>
        <w:tabs>
          <w:tab w:val="left" w:pos="6084"/>
        </w:tabs>
        <w:kinsoku/>
        <w:wordWrap/>
        <w:overflowPunct/>
        <w:topLinePunct w:val="0"/>
        <w:autoSpaceDE/>
        <w:autoSpaceDN/>
        <w:bidi w:val="0"/>
        <w:spacing w:beforeAutospacing="0" w:afterAutospacing="0" w:line="600" w:lineRule="exact"/>
        <w:ind w:firstLine="0" w:firstLineChars="0"/>
        <w:jc w:val="center"/>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第六章  附则</w:t>
      </w: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第十九条【法律责任】</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各级地震工作主管部门以及相关单位工作人员在地震安全性信用评价和评价结果应用过程中，如存在徇私舞弊、滥用职权、玩忽职守等行为，造成不良后果的，依法追究相关责任。</w:t>
      </w:r>
    </w:p>
    <w:p>
      <w:pPr>
        <w:pageBreakBefore w:val="0"/>
        <w:kinsoku/>
        <w:wordWrap/>
        <w:overflowPunct/>
        <w:topLinePunct w:val="0"/>
        <w:autoSpaceDE/>
        <w:autoSpaceDN/>
        <w:bidi w:val="0"/>
        <w:spacing w:beforeAutospacing="0" w:afterAutospacing="0" w:line="600" w:lineRule="exact"/>
        <w:ind w:firstLine="420"/>
        <w:textAlignment w:val="auto"/>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第二十条【法律解释】</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本办法由广州市地震局负责解释。</w:t>
      </w:r>
    </w:p>
    <w:p>
      <w:pPr>
        <w:pageBreakBefore w:val="0"/>
        <w:kinsoku/>
        <w:wordWrap/>
        <w:overflowPunct/>
        <w:topLinePunct w:val="0"/>
        <w:autoSpaceDE/>
        <w:autoSpaceDN/>
        <w:bidi w:val="0"/>
        <w:spacing w:beforeAutospacing="0" w:afterAutospacing="0" w:line="600" w:lineRule="exact"/>
        <w:ind w:firstLine="560"/>
        <w:jc w:val="left"/>
        <w:textAlignment w:val="auto"/>
        <w:rPr>
          <w:rStyle w:val="9"/>
          <w:rFonts w:hint="eastAsia" w:ascii="仿宋_GB2312" w:hAnsi="仿宋_GB2312" w:eastAsia="仿宋_GB2312" w:cs="仿宋_GB2312"/>
          <w:color w:val="auto"/>
          <w:sz w:val="32"/>
          <w:szCs w:val="32"/>
        </w:rPr>
      </w:pPr>
    </w:p>
    <w:p>
      <w:pPr>
        <w:pStyle w:val="2"/>
        <w:pageBreakBefore w:val="0"/>
        <w:kinsoku/>
        <w:wordWrap/>
        <w:overflowPunct/>
        <w:topLinePunct w:val="0"/>
        <w:autoSpaceDE/>
        <w:autoSpaceDN/>
        <w:bidi w:val="0"/>
        <w:spacing w:beforeAutospacing="0" w:afterAutospacing="0" w:line="600" w:lineRule="exact"/>
        <w:ind w:firstLine="643"/>
        <w:textAlignment w:val="auto"/>
        <w:rPr>
          <w:rStyle w:val="9"/>
          <w:rFonts w:hint="eastAsia" w:ascii="仿宋_GB2312" w:hAnsi="仿宋_GB2312" w:eastAsia="仿宋_GB2312" w:cs="仿宋_GB2312"/>
          <w:b/>
          <w:color w:val="auto"/>
          <w:sz w:val="32"/>
          <w:szCs w:val="32"/>
        </w:rPr>
      </w:pPr>
      <w:r>
        <w:rPr>
          <w:rStyle w:val="9"/>
          <w:rFonts w:hint="eastAsia" w:ascii="仿宋_GB2312" w:hAnsi="仿宋_GB2312" w:eastAsia="仿宋_GB2312" w:cs="仿宋_GB2312"/>
          <w:b/>
          <w:color w:val="auto"/>
          <w:sz w:val="32"/>
          <w:szCs w:val="32"/>
        </w:rPr>
        <w:t>第二十一条 【实施日期】</w:t>
      </w:r>
    </w:p>
    <w:p>
      <w:pPr>
        <w:pageBreakBefore w:val="0"/>
        <w:kinsoku/>
        <w:wordWrap/>
        <w:overflowPunct/>
        <w:topLinePunct w:val="0"/>
        <w:autoSpaceDE/>
        <w:autoSpaceDN/>
        <w:bidi w:val="0"/>
        <w:spacing w:beforeAutospacing="0" w:afterAutospacing="0" w:line="600" w:lineRule="exact"/>
        <w:ind w:firstLine="64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本办法自 2023年 月 日起施行，有效期3年。</w:t>
      </w:r>
    </w:p>
    <w:p>
      <w:pPr>
        <w:pageBreakBefore w:val="0"/>
        <w:kinsoku/>
        <w:wordWrap/>
        <w:overflowPunct/>
        <w:topLinePunct w:val="0"/>
        <w:autoSpaceDE/>
        <w:autoSpaceDN/>
        <w:bidi w:val="0"/>
        <w:spacing w:beforeAutospacing="0" w:afterAutospacing="0" w:line="600" w:lineRule="exact"/>
        <w:ind w:firstLine="560"/>
        <w:jc w:val="left"/>
        <w:textAlignment w:val="auto"/>
        <w:rPr>
          <w:rStyle w:val="9"/>
          <w:rFonts w:hint="default" w:ascii="宋体" w:hAnsi="宋体" w:eastAsia="宋体"/>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ageBreakBefore w:val="0"/>
        <w:kinsoku/>
        <w:wordWrap/>
        <w:overflowPunct/>
        <w:topLinePunct w:val="0"/>
        <w:autoSpaceDE/>
        <w:autoSpaceDN/>
        <w:bidi w:val="0"/>
        <w:spacing w:beforeAutospacing="0" w:afterAutospacing="0" w:line="600" w:lineRule="exact"/>
        <w:ind w:firstLine="0" w:firstLineChars="0"/>
        <w:jc w:val="both"/>
        <w:textAlignment w:val="auto"/>
        <w:rPr>
          <w:rStyle w:val="9"/>
          <w:rFonts w:hint="eastAsia" w:ascii="宋体" w:hAnsi="宋体" w:eastAsia="宋体"/>
          <w:b/>
          <w:color w:val="auto"/>
          <w:lang w:eastAsia="zh-CN"/>
        </w:rPr>
      </w:pPr>
      <w:bookmarkStart w:id="6" w:name="_Hlk118388227"/>
      <w:r>
        <w:rPr>
          <w:rStyle w:val="9"/>
          <w:rFonts w:hint="eastAsia" w:ascii="仿宋_GB2312" w:hAnsi="仿宋_GB2312" w:eastAsia="仿宋_GB2312" w:cs="仿宋_GB2312"/>
          <w:b/>
          <w:color w:val="auto"/>
          <w:lang w:eastAsia="zh-CN"/>
        </w:rPr>
        <w:t>附件</w:t>
      </w:r>
    </w:p>
    <w:p>
      <w:pPr>
        <w:pageBreakBefore w:val="0"/>
        <w:kinsoku/>
        <w:wordWrap/>
        <w:overflowPunct/>
        <w:topLinePunct w:val="0"/>
        <w:autoSpaceDE/>
        <w:autoSpaceDN/>
        <w:bidi w:val="0"/>
        <w:spacing w:beforeAutospacing="0" w:afterAutospacing="0" w:line="600" w:lineRule="exact"/>
        <w:ind w:firstLine="0" w:firstLineChars="0"/>
        <w:jc w:val="center"/>
        <w:textAlignment w:val="auto"/>
        <w:rPr>
          <w:rStyle w:val="9"/>
          <w:rFonts w:hint="default" w:ascii="宋体" w:hAnsi="宋体" w:eastAsia="宋体"/>
          <w:b/>
          <w:color w:val="auto"/>
        </w:rPr>
      </w:pPr>
      <w:r>
        <w:rPr>
          <w:rStyle w:val="9"/>
          <w:rFonts w:hint="default" w:ascii="宋体" w:hAnsi="宋体" w:eastAsia="宋体"/>
          <w:b/>
          <w:color w:val="auto"/>
        </w:rPr>
        <w:t>广州市地震安全性评价从业单位信用评价指标</w:t>
      </w:r>
    </w:p>
    <w:bookmarkEnd w:id="6"/>
    <w:p>
      <w:pPr>
        <w:pageBreakBefore w:val="0"/>
        <w:kinsoku/>
        <w:wordWrap/>
        <w:overflowPunct/>
        <w:topLinePunct w:val="0"/>
        <w:autoSpaceDE/>
        <w:autoSpaceDN/>
        <w:bidi w:val="0"/>
        <w:spacing w:beforeAutospacing="0" w:afterAutospacing="0" w:line="600" w:lineRule="exact"/>
        <w:ind w:firstLine="560"/>
        <w:jc w:val="left"/>
        <w:textAlignment w:val="auto"/>
        <w:rPr>
          <w:rStyle w:val="9"/>
          <w:rFonts w:hint="default" w:ascii="宋体" w:hAnsi="宋体" w:eastAsia="宋体"/>
          <w:color w:val="auto"/>
          <w:sz w:val="28"/>
          <w:szCs w:val="28"/>
        </w:rPr>
      </w:pPr>
      <w:r>
        <w:rPr>
          <w:rStyle w:val="9"/>
          <w:rFonts w:hint="default" w:ascii="宋体" w:hAnsi="宋体" w:eastAsia="宋体"/>
          <w:color w:val="auto"/>
          <w:sz w:val="28"/>
          <w:szCs w:val="28"/>
        </w:rPr>
        <w:t>一、等级标准</w:t>
      </w:r>
    </w:p>
    <w:tbl>
      <w:tblPr>
        <w:tblStyle w:val="6"/>
        <w:tblW w:w="5000" w:type="pct"/>
        <w:tblInd w:w="0" w:type="dxa"/>
        <w:tblLayout w:type="autofit"/>
        <w:tblCellMar>
          <w:top w:w="0" w:type="dxa"/>
          <w:left w:w="108" w:type="dxa"/>
          <w:bottom w:w="0" w:type="dxa"/>
          <w:right w:w="108" w:type="dxa"/>
        </w:tblCellMar>
      </w:tblPr>
      <w:tblGrid>
        <w:gridCol w:w="2840"/>
        <w:gridCol w:w="5682"/>
      </w:tblGrid>
      <w:tr>
        <w:trPr>
          <w:trHeight w:val="442" w:hRule="atLeast"/>
        </w:trPr>
        <w:tc>
          <w:tcPr>
            <w:tcW w:w="16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宋体" w:hAnsi="宋体" w:eastAsia="宋体" w:cs="宋体"/>
                <w:kern w:val="0"/>
                <w:sz w:val="24"/>
                <w:szCs w:val="24"/>
              </w:rPr>
            </w:pPr>
            <w:r>
              <w:rPr>
                <w:rFonts w:hint="eastAsia" w:ascii="宋体" w:hAnsi="宋体" w:eastAsia="宋体" w:cs="宋体"/>
                <w:kern w:val="0"/>
                <w:sz w:val="24"/>
                <w:szCs w:val="24"/>
              </w:rPr>
              <w:t>信用等级</w:t>
            </w:r>
          </w:p>
        </w:tc>
        <w:tc>
          <w:tcPr>
            <w:tcW w:w="333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宋体" w:hAnsi="宋体" w:eastAsia="宋体" w:cs="宋体"/>
                <w:kern w:val="0"/>
                <w:sz w:val="24"/>
                <w:szCs w:val="24"/>
              </w:rPr>
            </w:pPr>
            <w:r>
              <w:rPr>
                <w:rFonts w:hint="eastAsia" w:ascii="宋体" w:hAnsi="宋体" w:eastAsia="宋体" w:cs="宋体"/>
                <w:kern w:val="0"/>
                <w:sz w:val="24"/>
                <w:szCs w:val="24"/>
              </w:rPr>
              <w:t>评价分值(N)</w:t>
            </w:r>
          </w:p>
        </w:tc>
      </w:tr>
      <w:tr>
        <w:tblPrEx>
          <w:tblCellMar>
            <w:top w:w="0" w:type="dxa"/>
            <w:left w:w="108" w:type="dxa"/>
            <w:bottom w:w="0" w:type="dxa"/>
            <w:right w:w="108" w:type="dxa"/>
          </w:tblCellMar>
        </w:tblPrEx>
        <w:trPr>
          <w:trHeight w:val="442" w:hRule="atLeast"/>
        </w:trPr>
        <w:tc>
          <w:tcPr>
            <w:tcW w:w="16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宋体" w:hAnsi="宋体" w:eastAsia="宋体" w:cs="宋体"/>
                <w:kern w:val="0"/>
                <w:sz w:val="24"/>
                <w:szCs w:val="24"/>
              </w:rPr>
            </w:pPr>
            <w:r>
              <w:rPr>
                <w:rFonts w:hint="eastAsia" w:ascii="宋体" w:hAnsi="宋体" w:eastAsia="宋体" w:cs="宋体"/>
                <w:kern w:val="0"/>
                <w:sz w:val="24"/>
                <w:szCs w:val="24"/>
              </w:rPr>
              <w:t>A</w:t>
            </w:r>
          </w:p>
        </w:tc>
        <w:tc>
          <w:tcPr>
            <w:tcW w:w="33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宋体" w:hAnsi="宋体" w:eastAsia="宋体" w:cs="宋体"/>
                <w:kern w:val="0"/>
                <w:sz w:val="24"/>
                <w:szCs w:val="24"/>
              </w:rPr>
            </w:pPr>
            <w:r>
              <w:rPr>
                <w:rFonts w:hint="eastAsia" w:ascii="宋体" w:hAnsi="宋体" w:eastAsia="宋体" w:cs="仿宋"/>
                <w:kern w:val="0"/>
                <w:sz w:val="24"/>
                <w:szCs w:val="24"/>
              </w:rPr>
              <w:t>8</w:t>
            </w:r>
            <w:r>
              <w:rPr>
                <w:rFonts w:hint="default" w:ascii="宋体" w:hAnsi="宋体" w:eastAsia="宋体" w:cs="仿宋"/>
                <w:kern w:val="0"/>
                <w:sz w:val="24"/>
                <w:szCs w:val="24"/>
              </w:rPr>
              <w:t>0</w:t>
            </w:r>
            <w:r>
              <w:rPr>
                <w:rFonts w:hint="eastAsia" w:ascii="宋体" w:hAnsi="宋体" w:eastAsia="宋体" w:cs="仿宋"/>
                <w:kern w:val="0"/>
                <w:sz w:val="24"/>
                <w:szCs w:val="24"/>
              </w:rPr>
              <w:t>≤N≤100</w:t>
            </w:r>
          </w:p>
        </w:tc>
      </w:tr>
      <w:tr>
        <w:tblPrEx>
          <w:tblCellMar>
            <w:top w:w="0" w:type="dxa"/>
            <w:left w:w="108" w:type="dxa"/>
            <w:bottom w:w="0" w:type="dxa"/>
            <w:right w:w="108" w:type="dxa"/>
          </w:tblCellMar>
        </w:tblPrEx>
        <w:trPr>
          <w:trHeight w:val="442" w:hRule="atLeast"/>
        </w:trPr>
        <w:tc>
          <w:tcPr>
            <w:tcW w:w="16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宋体" w:hAnsi="宋体" w:eastAsia="宋体" w:cs="宋体"/>
                <w:kern w:val="0"/>
                <w:sz w:val="24"/>
                <w:szCs w:val="24"/>
              </w:rPr>
            </w:pPr>
            <w:r>
              <w:rPr>
                <w:rFonts w:hint="eastAsia" w:ascii="宋体" w:hAnsi="宋体" w:eastAsia="宋体" w:cs="宋体"/>
                <w:kern w:val="0"/>
                <w:sz w:val="24"/>
                <w:szCs w:val="24"/>
              </w:rPr>
              <w:t>B</w:t>
            </w:r>
          </w:p>
        </w:tc>
        <w:tc>
          <w:tcPr>
            <w:tcW w:w="33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宋体" w:hAnsi="宋体" w:eastAsia="宋体" w:cs="仿宋"/>
                <w:kern w:val="0"/>
                <w:sz w:val="24"/>
                <w:szCs w:val="24"/>
              </w:rPr>
            </w:pPr>
            <w:r>
              <w:rPr>
                <w:rFonts w:hint="eastAsia" w:ascii="宋体" w:hAnsi="宋体" w:eastAsia="宋体" w:cs="仿宋"/>
                <w:kern w:val="0"/>
                <w:sz w:val="24"/>
                <w:szCs w:val="24"/>
              </w:rPr>
              <w:t>60≤N＜8</w:t>
            </w:r>
            <w:r>
              <w:rPr>
                <w:rFonts w:hint="default" w:ascii="宋体" w:hAnsi="宋体" w:eastAsia="宋体" w:cs="仿宋"/>
                <w:kern w:val="0"/>
                <w:sz w:val="24"/>
                <w:szCs w:val="24"/>
              </w:rPr>
              <w:t>0</w:t>
            </w:r>
          </w:p>
        </w:tc>
      </w:tr>
      <w:tr>
        <w:tblPrEx>
          <w:tblCellMar>
            <w:top w:w="0" w:type="dxa"/>
            <w:left w:w="108" w:type="dxa"/>
            <w:bottom w:w="0" w:type="dxa"/>
            <w:right w:w="108" w:type="dxa"/>
          </w:tblCellMar>
        </w:tblPrEx>
        <w:trPr>
          <w:trHeight w:val="442" w:hRule="atLeast"/>
        </w:trPr>
        <w:tc>
          <w:tcPr>
            <w:tcW w:w="16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宋体" w:hAnsi="宋体" w:eastAsia="宋体" w:cs="宋体"/>
                <w:kern w:val="0"/>
                <w:sz w:val="24"/>
                <w:szCs w:val="24"/>
              </w:rPr>
            </w:pPr>
            <w:r>
              <w:rPr>
                <w:rFonts w:hint="eastAsia" w:ascii="宋体" w:hAnsi="宋体" w:eastAsia="宋体" w:cs="宋体"/>
                <w:kern w:val="0"/>
                <w:sz w:val="24"/>
                <w:szCs w:val="24"/>
              </w:rPr>
              <w:t>C</w:t>
            </w:r>
          </w:p>
        </w:tc>
        <w:tc>
          <w:tcPr>
            <w:tcW w:w="33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default" w:ascii="宋体" w:hAnsi="宋体" w:eastAsia="宋体" w:cs="宋体"/>
                <w:kern w:val="0"/>
                <w:sz w:val="24"/>
                <w:szCs w:val="24"/>
              </w:rPr>
            </w:pPr>
            <w:r>
              <w:rPr>
                <w:rFonts w:hint="eastAsia" w:ascii="宋体" w:hAnsi="宋体" w:eastAsia="宋体" w:cs="仿宋"/>
                <w:kern w:val="0"/>
                <w:sz w:val="24"/>
                <w:szCs w:val="24"/>
              </w:rPr>
              <w:t>N＜60</w:t>
            </w:r>
          </w:p>
        </w:tc>
      </w:tr>
    </w:tbl>
    <w:p>
      <w:pPr>
        <w:pageBreakBefore w:val="0"/>
        <w:kinsoku/>
        <w:wordWrap/>
        <w:overflowPunct/>
        <w:topLinePunct w:val="0"/>
        <w:autoSpaceDE/>
        <w:autoSpaceDN/>
        <w:bidi w:val="0"/>
        <w:spacing w:beforeAutospacing="0" w:afterAutospacing="0" w:line="600" w:lineRule="exact"/>
        <w:ind w:firstLine="560"/>
        <w:jc w:val="left"/>
        <w:textAlignment w:val="auto"/>
        <w:rPr>
          <w:rStyle w:val="9"/>
          <w:rFonts w:hint="default" w:ascii="宋体" w:hAnsi="宋体" w:eastAsia="宋体"/>
          <w:color w:val="auto"/>
          <w:sz w:val="28"/>
          <w:szCs w:val="28"/>
        </w:rPr>
      </w:pPr>
      <w:r>
        <w:rPr>
          <w:rStyle w:val="9"/>
          <w:rFonts w:hint="default" w:ascii="宋体" w:hAnsi="宋体" w:eastAsia="宋体"/>
          <w:color w:val="auto"/>
          <w:sz w:val="28"/>
          <w:szCs w:val="28"/>
        </w:rPr>
        <w:t>二、评价指标</w:t>
      </w:r>
    </w:p>
    <w:tbl>
      <w:tblPr>
        <w:tblStyle w:val="6"/>
        <w:tblW w:w="5000" w:type="pct"/>
        <w:tblInd w:w="0" w:type="dxa"/>
        <w:tblLayout w:type="autofit"/>
        <w:tblCellMar>
          <w:top w:w="0" w:type="dxa"/>
          <w:left w:w="108" w:type="dxa"/>
          <w:bottom w:w="0" w:type="dxa"/>
          <w:right w:w="108" w:type="dxa"/>
        </w:tblCellMar>
      </w:tblPr>
      <w:tblGrid>
        <w:gridCol w:w="1067"/>
        <w:gridCol w:w="1065"/>
        <w:gridCol w:w="1065"/>
        <w:gridCol w:w="1953"/>
        <w:gridCol w:w="1692"/>
        <w:gridCol w:w="1680"/>
      </w:tblGrid>
      <w:tr>
        <w:tblPrEx>
          <w:tblCellMar>
            <w:top w:w="0" w:type="dxa"/>
            <w:left w:w="108" w:type="dxa"/>
            <w:bottom w:w="0" w:type="dxa"/>
            <w:right w:w="108" w:type="dxa"/>
          </w:tblCellMar>
        </w:tblPrEx>
        <w:trPr>
          <w:trHeight w:val="492" w:hRule="atLeast"/>
          <w:tblHeader/>
        </w:trPr>
        <w:tc>
          <w:tcPr>
            <w:tcW w:w="626" w:type="pct"/>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625"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一级指标</w:t>
            </w:r>
          </w:p>
        </w:tc>
        <w:tc>
          <w:tcPr>
            <w:tcW w:w="625" w:type="pct"/>
            <w:tcBorders>
              <w:top w:val="single" w:color="auto" w:sz="8" w:space="0"/>
              <w:left w:val="nil"/>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二级指标</w:t>
            </w:r>
          </w:p>
        </w:tc>
        <w:tc>
          <w:tcPr>
            <w:tcW w:w="1146"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评分规则</w:t>
            </w:r>
          </w:p>
        </w:tc>
        <w:tc>
          <w:tcPr>
            <w:tcW w:w="993"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计分方式</w:t>
            </w:r>
          </w:p>
        </w:tc>
        <w:tc>
          <w:tcPr>
            <w:tcW w:w="985"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b/>
                <w:bCs/>
                <w:color w:val="000000"/>
                <w:kern w:val="0"/>
                <w:sz w:val="20"/>
                <w:szCs w:val="20"/>
              </w:rPr>
            </w:pPr>
            <w:r>
              <w:rPr>
                <w:rFonts w:hint="eastAsia" w:ascii="宋体" w:hAnsi="宋体" w:eastAsia="宋体" w:cs="宋体"/>
                <w:b/>
                <w:bCs/>
                <w:color w:val="000000"/>
                <w:kern w:val="0"/>
                <w:sz w:val="20"/>
                <w:szCs w:val="20"/>
              </w:rPr>
              <w:t>数据来源和确认</w:t>
            </w:r>
          </w:p>
        </w:tc>
      </w:tr>
      <w:tr>
        <w:tblPrEx>
          <w:tblCellMar>
            <w:top w:w="0" w:type="dxa"/>
            <w:left w:w="108" w:type="dxa"/>
            <w:bottom w:w="0" w:type="dxa"/>
            <w:right w:w="108" w:type="dxa"/>
          </w:tblCellMar>
        </w:tblPrEx>
        <w:trPr>
          <w:trHeight w:val="145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2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基础信息  </w:t>
            </w:r>
          </w:p>
        </w:tc>
        <w:tc>
          <w:tcPr>
            <w:tcW w:w="625" w:type="pct"/>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注册信息</w:t>
            </w: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注册登记信息完整</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加10分</w:t>
            </w:r>
          </w:p>
        </w:tc>
        <w:tc>
          <w:tcPr>
            <w:tcW w:w="98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地震安全性评价从业单位申报并提交相应的材料</w:t>
            </w:r>
          </w:p>
        </w:tc>
      </w:tr>
      <w:tr>
        <w:tblPrEx>
          <w:tblCellMar>
            <w:top w:w="0" w:type="dxa"/>
            <w:left w:w="108" w:type="dxa"/>
            <w:bottom w:w="0" w:type="dxa"/>
            <w:right w:w="108" w:type="dxa"/>
          </w:tblCellMar>
        </w:tblPrEx>
        <w:trPr>
          <w:trHeight w:val="73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625" w:type="pct"/>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守信信息</w:t>
            </w:r>
          </w:p>
        </w:tc>
        <w:tc>
          <w:tcPr>
            <w:tcW w:w="625" w:type="pct"/>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表彰奖励</w:t>
            </w: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国家级：获得通报表扬、奖励、表彰等</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每次加10分</w:t>
            </w:r>
          </w:p>
        </w:tc>
        <w:tc>
          <w:tcPr>
            <w:tcW w:w="985" w:type="pct"/>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地震安全性评价从业单位提交材料</w:t>
            </w:r>
          </w:p>
        </w:tc>
      </w:tr>
      <w:tr>
        <w:tblPrEx>
          <w:tblCellMar>
            <w:top w:w="0" w:type="dxa"/>
            <w:left w:w="108" w:type="dxa"/>
            <w:bottom w:w="0" w:type="dxa"/>
            <w:right w:w="108" w:type="dxa"/>
          </w:tblCellMar>
        </w:tblPrEx>
        <w:trPr>
          <w:trHeight w:val="73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省部级：获得通报表扬、奖励、表彰等</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每次加8分</w:t>
            </w:r>
          </w:p>
        </w:tc>
        <w:tc>
          <w:tcPr>
            <w:tcW w:w="98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73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市级、省工作部门级：获得通报表扬、奖励、表彰等</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每次加5分</w:t>
            </w:r>
          </w:p>
        </w:tc>
        <w:tc>
          <w:tcPr>
            <w:tcW w:w="98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49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区级：获得通报表扬、奖励、表彰等</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每次加3分</w:t>
            </w:r>
          </w:p>
        </w:tc>
        <w:tc>
          <w:tcPr>
            <w:tcW w:w="98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97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625" w:type="pct"/>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失信信息</w:t>
            </w:r>
          </w:p>
        </w:tc>
        <w:tc>
          <w:tcPr>
            <w:tcW w:w="625" w:type="pct"/>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经营服务</w:t>
            </w: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以其他地震安全性评价单位的名义承揽地震安全性评价业务的信息</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每次扣20分</w:t>
            </w:r>
          </w:p>
        </w:tc>
        <w:tc>
          <w:tcPr>
            <w:tcW w:w="985" w:type="pct"/>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依据生效的法律文书或文件进行认定，并按生效时间所处的年度进行扣分。</w:t>
            </w:r>
          </w:p>
        </w:tc>
      </w:tr>
      <w:tr>
        <w:tblPrEx>
          <w:tblCellMar>
            <w:top w:w="0" w:type="dxa"/>
            <w:left w:w="108" w:type="dxa"/>
            <w:bottom w:w="0" w:type="dxa"/>
            <w:right w:w="108" w:type="dxa"/>
          </w:tblCellMar>
        </w:tblPrEx>
        <w:trPr>
          <w:trHeight w:val="97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允许其他单位以本单位名义承揽地震安全性评价业务的信息</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每次扣20分</w:t>
            </w:r>
          </w:p>
        </w:tc>
        <w:tc>
          <w:tcPr>
            <w:tcW w:w="98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73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安全生产</w:t>
            </w: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发生较大及以上安全生产事故并负主要责任的</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每次扣10分</w:t>
            </w:r>
          </w:p>
        </w:tc>
        <w:tc>
          <w:tcPr>
            <w:tcW w:w="98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73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发生一般安全生产事故并负主要责任的</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每次扣5分</w:t>
            </w:r>
          </w:p>
        </w:tc>
        <w:tc>
          <w:tcPr>
            <w:tcW w:w="98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97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其他</w:t>
            </w: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依法依规认定的其他与地震安全性评价活动有关的失信信息</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每项扣5分</w:t>
            </w:r>
          </w:p>
        </w:tc>
        <w:tc>
          <w:tcPr>
            <w:tcW w:w="98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73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625" w:type="pct"/>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提示信息</w:t>
            </w:r>
          </w:p>
        </w:tc>
        <w:tc>
          <w:tcPr>
            <w:tcW w:w="625" w:type="pct"/>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人员信息</w:t>
            </w: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地震学相关专业背景高级专业技术职称人员不少于2人</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加10分</w:t>
            </w:r>
          </w:p>
        </w:tc>
        <w:tc>
          <w:tcPr>
            <w:tcW w:w="985" w:type="pct"/>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地震安全性评价从业单位申报并提交相应的材料（地震安全性评价从业人员人数确认，符合中国地震局有关规定：劳动（聘用）合同，或聘用单位出具的人事关系证明；专业技术人员为在职职工的，应当提供社会保险缴纳证明；兼职、退休人员，应当提供出具所在单位同意兼职证明）</w:t>
            </w:r>
          </w:p>
        </w:tc>
      </w:tr>
      <w:tr>
        <w:tblPrEx>
          <w:tblCellMar>
            <w:top w:w="0" w:type="dxa"/>
            <w:left w:w="108" w:type="dxa"/>
            <w:bottom w:w="0" w:type="dxa"/>
            <w:right w:w="108" w:type="dxa"/>
          </w:tblCellMar>
        </w:tblPrEx>
        <w:trPr>
          <w:trHeight w:val="97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地震地质学相关专业背景高级专业技术职称人员不少于2人</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加10分</w:t>
            </w:r>
          </w:p>
        </w:tc>
        <w:tc>
          <w:tcPr>
            <w:tcW w:w="98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97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地震工程学相关专业背景高级专业技术职称人员不少于2人</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加10分</w:t>
            </w:r>
          </w:p>
        </w:tc>
        <w:tc>
          <w:tcPr>
            <w:tcW w:w="98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145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技术条件</w:t>
            </w: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具有承担地震安全性评价工作的技术装备和专用软件系统，并具备相应的实验、测试条件和分析能力</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加10分</w:t>
            </w:r>
          </w:p>
        </w:tc>
        <w:tc>
          <w:tcPr>
            <w:tcW w:w="98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121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管理信息</w:t>
            </w: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具有健全的质量管理体系（包含土工试验计量认证、质量管理体系认证等）</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加10分</w:t>
            </w:r>
          </w:p>
        </w:tc>
        <w:tc>
          <w:tcPr>
            <w:tcW w:w="98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121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信用承诺</w:t>
            </w: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地震安全性评价从业单位向地震工作主管部门作出的信用承诺</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按时提交加5分</w:t>
            </w:r>
          </w:p>
        </w:tc>
        <w:tc>
          <w:tcPr>
            <w:tcW w:w="98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地震安全性评价从业单位申报并提交材料</w:t>
            </w:r>
          </w:p>
        </w:tc>
      </w:tr>
      <w:tr>
        <w:tblPrEx>
          <w:tblCellMar>
            <w:top w:w="0" w:type="dxa"/>
            <w:left w:w="108" w:type="dxa"/>
            <w:bottom w:w="0" w:type="dxa"/>
            <w:right w:w="108" w:type="dxa"/>
          </w:tblCellMar>
        </w:tblPrEx>
        <w:trPr>
          <w:trHeight w:val="121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地震安全性评价从业单位违反信用承诺</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每次扣2分</w:t>
            </w:r>
          </w:p>
        </w:tc>
        <w:tc>
          <w:tcPr>
            <w:tcW w:w="98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市、区地震工作主管部门日常检查确认</w:t>
            </w:r>
          </w:p>
        </w:tc>
      </w:tr>
      <w:tr>
        <w:tblPrEx>
          <w:tblCellMar>
            <w:top w:w="0" w:type="dxa"/>
            <w:left w:w="108" w:type="dxa"/>
            <w:bottom w:w="0" w:type="dxa"/>
            <w:right w:w="108" w:type="dxa"/>
          </w:tblCellMar>
        </w:tblPrEx>
        <w:trPr>
          <w:trHeight w:val="217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经营业绩</w:t>
            </w: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完成地震安全性评价项目并通过评审</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每完成1个项目加2分，最高加20分</w:t>
            </w:r>
          </w:p>
        </w:tc>
        <w:tc>
          <w:tcPr>
            <w:tcW w:w="985"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地震安全性评价从业单位提交材料，市地震局记录，按时间计入一个统计年度。</w:t>
            </w:r>
          </w:p>
        </w:tc>
      </w:tr>
      <w:tr>
        <w:tblPrEx>
          <w:tblCellMar>
            <w:top w:w="0" w:type="dxa"/>
            <w:left w:w="108" w:type="dxa"/>
            <w:bottom w:w="0" w:type="dxa"/>
            <w:right w:w="108" w:type="dxa"/>
          </w:tblCellMar>
        </w:tblPrEx>
        <w:trPr>
          <w:trHeight w:val="1380"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检查抽查信息</w:t>
            </w: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191919"/>
                <w:kern w:val="0"/>
                <w:sz w:val="19"/>
                <w:szCs w:val="19"/>
              </w:rPr>
            </w:pPr>
            <w:r>
              <w:rPr>
                <w:rFonts w:hint="eastAsia" w:ascii="宋体" w:hAnsi="宋体" w:eastAsia="宋体" w:cs="宋体"/>
                <w:color w:val="191919"/>
                <w:kern w:val="0"/>
                <w:sz w:val="19"/>
                <w:szCs w:val="19"/>
              </w:rPr>
              <w:t>地震安全性评价从业单位提交的注册信息、人员信息、技术条件信息、管理信息存在虚假或失实的</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每次扣20分</w:t>
            </w:r>
          </w:p>
        </w:tc>
        <w:tc>
          <w:tcPr>
            <w:tcW w:w="985" w:type="pct"/>
            <w:vMerge w:val="restart"/>
            <w:tcBorders>
              <w:top w:val="nil"/>
              <w:left w:val="nil"/>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w:t>
            </w:r>
          </w:p>
          <w:p>
            <w:pPr>
              <w:keepNext w:val="0"/>
              <w:keepLines w:val="0"/>
              <w:pageBreakBefore w:val="0"/>
              <w:suppressLineNumbers w:val="0"/>
              <w:kinsoku/>
              <w:wordWrap/>
              <w:overflowPunct/>
              <w:topLinePunct w:val="0"/>
              <w:autoSpaceDE/>
              <w:autoSpaceDN/>
              <w:bidi w:val="0"/>
              <w:spacing w:before="0" w:beforeAutospacing="0" w:after="0" w:afterAutospacing="0" w:line="600" w:lineRule="exact"/>
              <w:ind w:left="0" w:right="0" w:firstLine="400"/>
              <w:jc w:val="left"/>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由</w:t>
            </w:r>
            <w:r>
              <w:rPr>
                <w:rFonts w:hint="eastAsia" w:ascii="宋体" w:hAnsi="宋体" w:eastAsia="宋体" w:cs="宋体"/>
                <w:color w:val="000000"/>
                <w:kern w:val="0"/>
                <w:sz w:val="20"/>
                <w:szCs w:val="20"/>
                <w:lang w:eastAsia="zh-CN"/>
              </w:rPr>
              <w:t>开展</w:t>
            </w:r>
            <w:r>
              <w:rPr>
                <w:rFonts w:hint="eastAsia" w:ascii="宋体" w:hAnsi="宋体" w:eastAsia="宋体" w:cs="宋体"/>
                <w:color w:val="000000"/>
                <w:kern w:val="0"/>
                <w:sz w:val="20"/>
                <w:szCs w:val="20"/>
              </w:rPr>
              <w:t>检查的地震主管</w:t>
            </w:r>
            <w:r>
              <w:rPr>
                <w:rFonts w:hint="eastAsia" w:ascii="宋体" w:hAnsi="宋体" w:eastAsia="宋体" w:cs="宋体"/>
                <w:color w:val="000000"/>
                <w:kern w:val="0"/>
                <w:sz w:val="20"/>
                <w:szCs w:val="20"/>
                <w:lang w:eastAsia="zh-CN"/>
              </w:rPr>
              <w:t>主管</w:t>
            </w:r>
            <w:r>
              <w:rPr>
                <w:rFonts w:hint="eastAsia" w:ascii="宋体" w:hAnsi="宋体" w:eastAsia="宋体" w:cs="宋体"/>
                <w:color w:val="000000"/>
                <w:kern w:val="0"/>
                <w:sz w:val="20"/>
                <w:szCs w:val="20"/>
              </w:rPr>
              <w:t>部门记录，并及时汇交至市地震工作主管部门</w:t>
            </w:r>
          </w:p>
        </w:tc>
      </w:tr>
      <w:tr>
        <w:tblPrEx>
          <w:tblCellMar>
            <w:top w:w="0" w:type="dxa"/>
            <w:left w:w="108" w:type="dxa"/>
            <w:bottom w:w="0" w:type="dxa"/>
            <w:right w:w="108" w:type="dxa"/>
          </w:tblCellMar>
        </w:tblPrEx>
        <w:trPr>
          <w:trHeight w:val="121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未按照地震安全性评价标准开展工作，工作数据、评价成果报告存在虚假或失实的信息</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每次扣20分</w:t>
            </w:r>
          </w:p>
        </w:tc>
        <w:tc>
          <w:tcPr>
            <w:tcW w:w="985" w:type="pct"/>
            <w:vMerge w:val="continue"/>
            <w:tcBorders>
              <w:left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40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97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 xml:space="preserve"> 地震安全性评价成果合规性差，被有关部门通报未通过评审的信息</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每次扣5分</w:t>
            </w:r>
          </w:p>
        </w:tc>
        <w:tc>
          <w:tcPr>
            <w:tcW w:w="985" w:type="pct"/>
            <w:vMerge w:val="continue"/>
            <w:tcBorders>
              <w:left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73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拒绝或阻碍依法进行地震安全性评价监督检查工作</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每次扣20分</w:t>
            </w:r>
          </w:p>
        </w:tc>
        <w:tc>
          <w:tcPr>
            <w:tcW w:w="985" w:type="pct"/>
            <w:vMerge w:val="continue"/>
            <w:tcBorders>
              <w:left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r>
        <w:tblPrEx>
          <w:tblCellMar>
            <w:top w:w="0" w:type="dxa"/>
            <w:left w:w="108" w:type="dxa"/>
            <w:bottom w:w="0" w:type="dxa"/>
            <w:right w:w="108" w:type="dxa"/>
          </w:tblCellMar>
        </w:tblPrEx>
        <w:trPr>
          <w:trHeight w:val="1452" w:hRule="atLeast"/>
        </w:trPr>
        <w:tc>
          <w:tcPr>
            <w:tcW w:w="626" w:type="pct"/>
            <w:tcBorders>
              <w:top w:val="nil"/>
              <w:left w:val="single" w:color="auto" w:sz="8" w:space="0"/>
              <w:bottom w:val="single" w:color="auto" w:sz="8" w:space="0"/>
              <w:right w:val="single" w:color="auto"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625"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c>
          <w:tcPr>
            <w:tcW w:w="1146"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经核查，从业单位在广州市内承揽了地震安评业务，但未按本办法的相关规定到地震部门进行信息报送</w:t>
            </w:r>
          </w:p>
        </w:tc>
        <w:tc>
          <w:tcPr>
            <w:tcW w:w="99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center"/>
              <w:textAlignment w:val="auto"/>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rPr>
              <w:t>每次扣20分</w:t>
            </w:r>
          </w:p>
        </w:tc>
        <w:tc>
          <w:tcPr>
            <w:tcW w:w="985" w:type="pct"/>
            <w:vMerge w:val="continue"/>
            <w:tcBorders>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firstLineChars="0"/>
              <w:jc w:val="left"/>
              <w:textAlignment w:val="auto"/>
              <w:rPr>
                <w:rFonts w:hint="default" w:ascii="宋体" w:hAnsi="宋体" w:eastAsia="宋体" w:cs="宋体"/>
                <w:color w:val="000000"/>
                <w:kern w:val="0"/>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ascii="Times New Roman" w:cs="Times New Roman" w:eastAsiaTheme="minorEastAsia"/>
        <w:sz w:val="20"/>
        <w:szCs w:val="20"/>
      </w:rPr>
    </w:pPr>
    <w:r>
      <w:rPr>
        <w:lang w:eastAsia="zh-CN"/>
      </w:rPr>
      <mc:AlternateContent>
        <mc:Choice Requires="wps">
          <w:drawing>
            <wp:anchor distT="0" distB="0" distL="114300" distR="114300" simplePos="0" relativeHeight="251659264" behindDoc="1" locked="0" layoutInCell="0" allowOverlap="1">
              <wp:simplePos x="0" y="0"/>
              <wp:positionH relativeFrom="page">
                <wp:posOffset>3468370</wp:posOffset>
              </wp:positionH>
              <wp:positionV relativeFrom="page">
                <wp:posOffset>9862185</wp:posOffset>
              </wp:positionV>
              <wp:extent cx="740410" cy="2070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40410" cy="207010"/>
                      </a:xfrm>
                      <a:prstGeom prst="rect">
                        <a:avLst/>
                      </a:prstGeom>
                      <a:noFill/>
                      <a:ln>
                        <a:noFill/>
                      </a:ln>
                      <a:effectLst/>
                    </wps:spPr>
                    <wps:txbx>
                      <w:txbxContent>
                        <w:p>
                          <w:pPr>
                            <w:pStyle w:val="3"/>
                            <w:kinsoku w:val="0"/>
                            <w:overflowPunct w:val="0"/>
                            <w:spacing w:line="326" w:lineRule="exact"/>
                            <w:ind w:left="20" w:firstLine="560"/>
                            <w:rPr>
                              <w:rFonts w:ascii="宋体" w:eastAsia="宋体" w:cs="宋体"/>
                              <w:sz w:val="28"/>
                              <w:szCs w:val="28"/>
                            </w:rPr>
                          </w:pPr>
                          <w:r>
                            <w:rPr>
                              <w:rFonts w:ascii="宋体" w:eastAsia="宋体" w:cs="宋体"/>
                              <w:sz w:val="28"/>
                              <w:szCs w:val="28"/>
                            </w:rPr>
                            <w:fldChar w:fldCharType="begin"/>
                          </w:r>
                          <w:r>
                            <w:rPr>
                              <w:rFonts w:ascii="宋体" w:eastAsia="宋体" w:cs="宋体"/>
                              <w:sz w:val="28"/>
                              <w:szCs w:val="28"/>
                            </w:rPr>
                            <w:instrText xml:space="preserve"> PAGE </w:instrText>
                          </w:r>
                          <w:r>
                            <w:rPr>
                              <w:rFonts w:ascii="宋体" w:eastAsia="宋体" w:cs="宋体"/>
                              <w:sz w:val="28"/>
                              <w:szCs w:val="28"/>
                            </w:rPr>
                            <w:fldChar w:fldCharType="separate"/>
                          </w:r>
                          <w:r>
                            <w:rPr>
                              <w:rFonts w:ascii="宋体" w:eastAsia="宋体" w:cs="宋体"/>
                              <w:sz w:val="28"/>
                              <w:szCs w:val="28"/>
                            </w:rPr>
                            <w:t>5</w:t>
                          </w:r>
                          <w:r>
                            <w:rPr>
                              <w:rFonts w:ascii="宋体" w:eastAsia="宋体" w:cs="宋体"/>
                              <w:sz w:val="28"/>
                              <w:szCs w:val="28"/>
                            </w:rPr>
                            <w:fldChar w:fldCharType="end"/>
                          </w:r>
                          <w:r>
                            <w:rPr>
                              <w:rFonts w:ascii="宋体" w:eastAsia="宋体" w:cs="宋体"/>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273.1pt;margin-top:776.55pt;height:16.3pt;width:58.3pt;mso-position-horizontal-relative:page;mso-position-vertical-relative:page;z-index:-251657216;mso-width-relative:page;mso-height-relative:page;" filled="f" stroked="f" coordsize="21600,21600" o:allowincell="f" o:gfxdata="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tksdsAAAANAQAADwAAAAAAAAABACAAAAAiAAAAZHJzL2Rvd25yZXYueG1s&#10;UEsBAhQAFAAAAAgAh07iQLsn/268AQAAfwMAAA4AAAAAAAAAAQAgAAAAKgEAAGRycy9lMm9Eb2Mu&#10;eG1sUEsFBgAAAAAGAAYAWQEAAFgFAAAAAA==&#10;">
              <v:fill on="f" focussize="0,0"/>
              <v:stroke on="f"/>
              <v:imagedata o:title=""/>
              <o:lock v:ext="edit" aspectratio="f"/>
              <v:textbox inset="0mm,0mm,0mm,0mm">
                <w:txbxContent>
                  <w:p>
                    <w:pPr>
                      <w:pStyle w:val="3"/>
                      <w:kinsoku w:val="0"/>
                      <w:overflowPunct w:val="0"/>
                      <w:spacing w:line="326" w:lineRule="exact"/>
                      <w:ind w:left="20" w:firstLine="560"/>
                      <w:rPr>
                        <w:rFonts w:ascii="宋体" w:eastAsia="宋体" w:cs="宋体"/>
                        <w:sz w:val="28"/>
                        <w:szCs w:val="28"/>
                      </w:rPr>
                    </w:pPr>
                    <w:r>
                      <w:rPr>
                        <w:rFonts w:ascii="宋体" w:eastAsia="宋体" w:cs="宋体"/>
                        <w:sz w:val="28"/>
                        <w:szCs w:val="28"/>
                      </w:rPr>
                      <w:fldChar w:fldCharType="begin"/>
                    </w:r>
                    <w:r>
                      <w:rPr>
                        <w:rFonts w:ascii="宋体" w:eastAsia="宋体" w:cs="宋体"/>
                        <w:sz w:val="28"/>
                        <w:szCs w:val="28"/>
                      </w:rPr>
                      <w:instrText xml:space="preserve"> PAGE </w:instrText>
                    </w:r>
                    <w:r>
                      <w:rPr>
                        <w:rFonts w:ascii="宋体" w:eastAsia="宋体" w:cs="宋体"/>
                        <w:sz w:val="28"/>
                        <w:szCs w:val="28"/>
                      </w:rPr>
                      <w:fldChar w:fldCharType="separate"/>
                    </w:r>
                    <w:r>
                      <w:rPr>
                        <w:rFonts w:ascii="宋体" w:eastAsia="宋体" w:cs="宋体"/>
                        <w:sz w:val="28"/>
                        <w:szCs w:val="28"/>
                      </w:rPr>
                      <w:t>5</w:t>
                    </w:r>
                    <w:r>
                      <w:rPr>
                        <w:rFonts w:ascii="宋体" w:eastAsia="宋体" w:cs="宋体"/>
                        <w:sz w:val="28"/>
                        <w:szCs w:val="28"/>
                      </w:rPr>
                      <w:fldChar w:fldCharType="end"/>
                    </w:r>
                    <w:r>
                      <w:rPr>
                        <w:rFonts w:asci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71D59"/>
    <w:multiLevelType w:val="singleLevel"/>
    <w:tmpl w:val="89D71D59"/>
    <w:lvl w:ilvl="0" w:tentative="0">
      <w:start w:val="1"/>
      <w:numFmt w:val="chineseCounting"/>
      <w:suff w:val="nothing"/>
      <w:lvlText w:val="（%1）"/>
      <w:lvlJc w:val="left"/>
      <w:rPr>
        <w:rFonts w:hint="eastAsia"/>
      </w:rPr>
    </w:lvl>
  </w:abstractNum>
  <w:abstractNum w:abstractNumId="1">
    <w:nsid w:val="12712D5E"/>
    <w:multiLevelType w:val="multilevel"/>
    <w:tmpl w:val="12712D5E"/>
    <w:lvl w:ilvl="0" w:tentative="0">
      <w:start w:val="1"/>
      <w:numFmt w:val="chineseCounting"/>
      <w:lvlText w:val="（%1）"/>
      <w:lvlJc w:val="left"/>
      <w:pPr>
        <w:ind w:left="988"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E730A06"/>
    <w:multiLevelType w:val="multilevel"/>
    <w:tmpl w:val="6E730A06"/>
    <w:lvl w:ilvl="0" w:tentative="0">
      <w:start w:val="1"/>
      <w:numFmt w:val="japaneseCounting"/>
      <w:lvlText w:val="（%1）"/>
      <w:lvlJc w:val="left"/>
      <w:pPr>
        <w:ind w:left="179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E3FCC"/>
    <w:rsid w:val="076E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outlineLvl w:val="1"/>
    </w:pPr>
    <w:rPr>
      <w:rFonts w:asciiTheme="majorHAnsi" w:hAnsiTheme="majorHAnsi" w:eastAsiaTheme="majorEastAsia" w:cstheme="majorBidi"/>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6"/>
      <w:ind w:left="111" w:firstLine="640"/>
      <w:jc w:val="left"/>
    </w:pPr>
    <w:rPr>
      <w:rFonts w:ascii="Microsoft JhengHei" w:hAnsi="Microsoft JhengHei" w:eastAsia="Microsoft JhengHei"/>
      <w:kern w:val="0"/>
      <w:sz w:val="32"/>
      <w:szCs w:val="32"/>
      <w:lang w:eastAsia="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ntstyle01"/>
    <w:basedOn w:val="7"/>
    <w:qFormat/>
    <w:uiPriority w:val="0"/>
    <w:rPr>
      <w:rFonts w:hint="default" w:ascii="方正小标宋简体" w:hAnsi="方正小标宋简体"/>
      <w:color w:val="000000"/>
      <w:sz w:val="44"/>
      <w:szCs w:val="44"/>
    </w:rPr>
  </w:style>
  <w:style w:type="character" w:customStyle="1" w:styleId="9">
    <w:name w:val="fontstyle31"/>
    <w:basedOn w:val="7"/>
    <w:qFormat/>
    <w:uiPriority w:val="0"/>
    <w:rPr>
      <w:rFonts w:hint="eastAsia" w:ascii="仿宋" w:hAnsi="仿宋" w:eastAsia="仿宋"/>
      <w:color w:val="000000"/>
      <w:sz w:val="32"/>
      <w:szCs w:val="32"/>
    </w:rPr>
  </w:style>
  <w:style w:type="paragraph" w:styleId="10">
    <w:name w:val="List Paragraph"/>
    <w:basedOn w:val="1"/>
    <w:unhideWhenUsed/>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2022-11-14T02:01:00Z</dcterms:created>
  <dc:creator>周倩</dc:creator>
  <cp:lastModifiedBy>周倩</cp:lastModifiedBy>
  <dcterms:modified xsi:type="dcterms:W3CDTF">2022-11-14T02:03:26Z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E649388245E14DB597A9B797151116F5</vt:lpwstr>
  </property>
</Properties>
</file>