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附件</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600" w:lineRule="exact"/>
        <w:jc w:val="center"/>
        <w:rPr>
          <w:rFonts w:hint="eastAsia" w:ascii="方正小标宋_GBK" w:hAnsi="方正小标宋_GBK" w:eastAsia="方正小标宋_GBK" w:cs="方正小标宋_GBK"/>
          <w:b w:val="0"/>
          <w:bCs w:val="0"/>
          <w:color w:val="auto"/>
          <w:sz w:val="44"/>
          <w:szCs w:val="44"/>
          <w:highlight w:val="none"/>
        </w:rPr>
      </w:pPr>
      <w:bookmarkStart w:id="0" w:name="_GoBack"/>
      <w:r>
        <w:rPr>
          <w:rFonts w:hint="eastAsia" w:ascii="方正小标宋_GBK" w:hAnsi="方正小标宋_GBK" w:eastAsia="方正小标宋_GBK" w:cs="方正小标宋_GBK"/>
          <w:b w:val="0"/>
          <w:bCs w:val="0"/>
          <w:color w:val="auto"/>
          <w:sz w:val="44"/>
          <w:szCs w:val="44"/>
          <w:highlight w:val="none"/>
        </w:rPr>
        <w:t>广州市安全培训机构、考试点管理办法</w:t>
      </w:r>
    </w:p>
    <w:p>
      <w:pPr>
        <w:keepNext w:val="0"/>
        <w:keepLines w:val="0"/>
        <w:pageBreakBefore w:val="0"/>
        <w:kinsoku/>
        <w:overflowPunct/>
        <w:topLinePunct w:val="0"/>
        <w:autoSpaceDE/>
        <w:autoSpaceDN/>
        <w:bidi w:val="0"/>
        <w:spacing w:line="600" w:lineRule="exact"/>
        <w:jc w:val="center"/>
        <w:rPr>
          <w:rFonts w:hint="eastAsia" w:ascii="仿宋" w:hAnsi="仿宋" w:eastAsia="仿宋" w:cs="仿宋"/>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（试行）（征求意见稿）</w:t>
      </w:r>
    </w:p>
    <w:bookmarkEnd w:id="0"/>
    <w:p>
      <w:pPr>
        <w:pStyle w:val="6"/>
        <w:keepNext w:val="0"/>
        <w:keepLines w:val="0"/>
        <w:pageBreakBefore w:val="0"/>
        <w:tabs>
          <w:tab w:val="left" w:pos="8789"/>
        </w:tabs>
        <w:kinsoku/>
        <w:overflowPunct/>
        <w:topLinePunct w:val="0"/>
        <w:autoSpaceDE/>
        <w:autoSpaceDN/>
        <w:bidi w:val="0"/>
        <w:adjustRightInd w:val="0"/>
        <w:snapToGrid w:val="0"/>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总则</w:t>
      </w:r>
    </w:p>
    <w:p>
      <w:pPr>
        <w:pStyle w:val="12"/>
        <w:keepNext w:val="0"/>
        <w:keepLines w:val="0"/>
        <w:pageBreakBefore w:val="0"/>
        <w:widowControl/>
        <w:numPr>
          <w:ilvl w:val="0"/>
          <w:numId w:val="1"/>
        </w:numPr>
        <w:tabs>
          <w:tab w:val="left" w:pos="0"/>
          <w:tab w:val="left" w:pos="10064"/>
        </w:tabs>
        <w:kinsoku/>
        <w:overflowPunct/>
        <w:topLinePunct w:val="0"/>
        <w:autoSpaceDE/>
        <w:autoSpaceDN/>
        <w:bidi w:val="0"/>
        <w:adjustRightInd w:val="0"/>
        <w:snapToGrid w:val="0"/>
        <w:spacing w:line="600" w:lineRule="exact"/>
        <w:ind w:left="250" w:firstLine="641" w:firstLineChars="0"/>
        <w:jc w:val="both"/>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eastAsia="zh-CN"/>
        </w:rPr>
        <w:t>立法</w:t>
      </w:r>
      <w:r>
        <w:rPr>
          <w:rFonts w:hint="eastAsia" w:ascii="仿宋_GB2312" w:hAnsi="仿宋_GB2312" w:eastAsia="仿宋_GB2312" w:cs="仿宋_GB2312"/>
          <w:b w:val="0"/>
          <w:bCs w:val="0"/>
          <w:color w:val="auto"/>
          <w:kern w:val="0"/>
          <w:sz w:val="32"/>
          <w:szCs w:val="32"/>
          <w:highlight w:val="none"/>
        </w:rPr>
        <w:t>目的】为进一步加强对全市安全培训机构、考试点的管理，规范安全培训行为，提高考试质量，促进安全培训市场规范有序发展，切实提高从业人员安全素质和技能，根据《中华人民共和国安全生产法》、《安全生产培训管理办法》</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原国家安监总局</w:t>
      </w:r>
      <w:r>
        <w:rPr>
          <w:rFonts w:hint="eastAsia" w:ascii="仿宋_GB2312" w:hAnsi="仿宋_GB2312" w:eastAsia="仿宋_GB2312" w:cs="仿宋_GB2312"/>
          <w:b w:val="0"/>
          <w:bCs w:val="0"/>
          <w:color w:val="auto"/>
          <w:sz w:val="32"/>
          <w:szCs w:val="32"/>
          <w:highlight w:val="none"/>
          <w:lang w:val="en-US" w:eastAsia="zh-CN"/>
        </w:rPr>
        <w:t>令</w:t>
      </w:r>
      <w:r>
        <w:rPr>
          <w:rFonts w:hint="eastAsia" w:ascii="仿宋_GB2312" w:hAnsi="仿宋_GB2312" w:eastAsia="仿宋_GB2312" w:cs="仿宋_GB2312"/>
          <w:b w:val="0"/>
          <w:bCs w:val="0"/>
          <w:color w:val="auto"/>
          <w:sz w:val="32"/>
          <w:szCs w:val="32"/>
          <w:highlight w:val="none"/>
          <w:lang w:eastAsia="zh-CN"/>
        </w:rPr>
        <w:t>第</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4号）</w:t>
      </w:r>
      <w:r>
        <w:rPr>
          <w:rFonts w:hint="eastAsia" w:ascii="仿宋_GB2312" w:hAnsi="仿宋_GB2312" w:eastAsia="仿宋_GB2312" w:cs="仿宋_GB2312"/>
          <w:b w:val="0"/>
          <w:bCs w:val="0"/>
          <w:color w:val="auto"/>
          <w:kern w:val="0"/>
          <w:sz w:val="32"/>
          <w:szCs w:val="32"/>
          <w:highlight w:val="none"/>
        </w:rPr>
        <w:t>、《特种作业人员安全技术培训考核管理规定</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原国家安监总局</w:t>
      </w:r>
      <w:r>
        <w:rPr>
          <w:rFonts w:hint="eastAsia" w:ascii="仿宋_GB2312" w:hAnsi="仿宋_GB2312" w:eastAsia="仿宋_GB2312" w:cs="仿宋_GB2312"/>
          <w:b w:val="0"/>
          <w:bCs w:val="0"/>
          <w:color w:val="auto"/>
          <w:sz w:val="32"/>
          <w:szCs w:val="32"/>
          <w:highlight w:val="none"/>
          <w:lang w:val="en-US" w:eastAsia="zh-CN"/>
        </w:rPr>
        <w:t>令</w:t>
      </w:r>
      <w:r>
        <w:rPr>
          <w:rFonts w:hint="eastAsia" w:ascii="仿宋_GB2312" w:hAnsi="仿宋_GB2312" w:eastAsia="仿宋_GB2312" w:cs="仿宋_GB2312"/>
          <w:b w:val="0"/>
          <w:bCs w:val="0"/>
          <w:color w:val="auto"/>
          <w:sz w:val="32"/>
          <w:szCs w:val="32"/>
          <w:highlight w:val="none"/>
          <w:lang w:eastAsia="zh-CN"/>
        </w:rPr>
        <w:t>第</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号）</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eastAsia="zh-CN"/>
        </w:rPr>
        <w:t>《安全培训机构基本条件》（</w:t>
      </w:r>
      <w:r>
        <w:rPr>
          <w:rFonts w:hint="eastAsia" w:ascii="仿宋_GB2312" w:hAnsi="仿宋_GB2312" w:eastAsia="仿宋_GB2312" w:cs="仿宋_GB2312"/>
          <w:b w:val="0"/>
          <w:bCs w:val="0"/>
          <w:color w:val="auto"/>
          <w:kern w:val="0"/>
          <w:sz w:val="32"/>
          <w:szCs w:val="32"/>
          <w:highlight w:val="none"/>
          <w:lang w:val="en-US" w:eastAsia="zh-CN"/>
        </w:rPr>
        <w:t>AQ/T8011-2016</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广东</w:t>
      </w:r>
      <w:r>
        <w:rPr>
          <w:rFonts w:hint="eastAsia" w:ascii="仿宋_GB2312" w:hAnsi="仿宋_GB2312" w:eastAsia="仿宋_GB2312" w:cs="仿宋_GB2312"/>
          <w:b w:val="0"/>
          <w:bCs w:val="0"/>
          <w:color w:val="auto"/>
          <w:sz w:val="32"/>
          <w:szCs w:val="32"/>
          <w:highlight w:val="none"/>
        </w:rPr>
        <w:t>省</w:t>
      </w:r>
      <w:r>
        <w:rPr>
          <w:rFonts w:hint="eastAsia" w:ascii="仿宋_GB2312" w:hAnsi="仿宋_GB2312" w:eastAsia="仿宋_GB2312" w:cs="仿宋_GB2312"/>
          <w:b w:val="0"/>
          <w:bCs w:val="0"/>
          <w:color w:val="auto"/>
          <w:sz w:val="32"/>
          <w:szCs w:val="32"/>
          <w:highlight w:val="none"/>
          <w:lang w:val="en-US" w:eastAsia="zh-CN"/>
        </w:rPr>
        <w:t>应急管理</w:t>
      </w:r>
      <w:r>
        <w:rPr>
          <w:rFonts w:hint="eastAsia" w:ascii="仿宋_GB2312" w:hAnsi="仿宋_GB2312" w:eastAsia="仿宋_GB2312" w:cs="仿宋_GB2312"/>
          <w:b w:val="0"/>
          <w:bCs w:val="0"/>
          <w:color w:val="auto"/>
          <w:sz w:val="32"/>
          <w:szCs w:val="32"/>
          <w:highlight w:val="none"/>
        </w:rPr>
        <w:t>厅安全生产资格考试与证书管理实施细则》（粤应急规〔2020〕4号）、</w:t>
      </w:r>
      <w:r>
        <w:rPr>
          <w:rFonts w:hint="eastAsia" w:ascii="仿宋_GB2312" w:hAnsi="仿宋_GB2312" w:eastAsia="仿宋_GB2312" w:cs="仿宋_GB2312"/>
          <w:b w:val="0"/>
          <w:bCs w:val="0"/>
          <w:color w:val="auto"/>
          <w:kern w:val="0"/>
          <w:sz w:val="32"/>
          <w:szCs w:val="32"/>
          <w:highlight w:val="none"/>
        </w:rPr>
        <w:t>等法律法规和政策文件，结合本市实际，制定本办法。</w:t>
      </w:r>
    </w:p>
    <w:p>
      <w:pPr>
        <w:pStyle w:val="12"/>
        <w:keepNext w:val="0"/>
        <w:keepLines w:val="0"/>
        <w:pageBreakBefore w:val="0"/>
        <w:widowControl/>
        <w:numPr>
          <w:ilvl w:val="0"/>
          <w:numId w:val="1"/>
        </w:numPr>
        <w:tabs>
          <w:tab w:val="left" w:pos="0"/>
          <w:tab w:val="left" w:pos="10064"/>
        </w:tabs>
        <w:kinsoku/>
        <w:overflowPunct/>
        <w:topLinePunct w:val="0"/>
        <w:autoSpaceDE/>
        <w:autoSpaceDN/>
        <w:bidi w:val="0"/>
        <w:adjustRightInd w:val="0"/>
        <w:snapToGrid w:val="0"/>
        <w:spacing w:line="600" w:lineRule="exact"/>
        <w:ind w:left="250" w:firstLine="641" w:firstLineChars="0"/>
        <w:jc w:val="both"/>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【适用范围】在本市行政区域内从事安全生产培训活动的生产经营单位</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安全培训机构及安全生产资格考试考试点（以下简称“考试点”）适用本办法。有关法律、法规和规章另有规定的，从其规定。</w:t>
      </w:r>
    </w:p>
    <w:p>
      <w:pPr>
        <w:pStyle w:val="12"/>
        <w:keepNext w:val="0"/>
        <w:keepLines w:val="0"/>
        <w:pageBreakBefore w:val="0"/>
        <w:widowControl/>
        <w:numPr>
          <w:ilvl w:val="0"/>
          <w:numId w:val="1"/>
        </w:numPr>
        <w:tabs>
          <w:tab w:val="left" w:pos="0"/>
          <w:tab w:val="left" w:pos="10064"/>
        </w:tabs>
        <w:kinsoku/>
        <w:overflowPunct/>
        <w:topLinePunct w:val="0"/>
        <w:autoSpaceDE/>
        <w:autoSpaceDN/>
        <w:bidi w:val="0"/>
        <w:adjustRightInd w:val="0"/>
        <w:snapToGrid w:val="0"/>
        <w:spacing w:line="600" w:lineRule="exact"/>
        <w:ind w:left="250" w:firstLine="641" w:firstLineChars="0"/>
        <w:jc w:val="both"/>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【基本</w:t>
      </w:r>
      <w:r>
        <w:rPr>
          <w:rFonts w:hint="eastAsia" w:ascii="仿宋_GB2312" w:hAnsi="仿宋_GB2312" w:eastAsia="仿宋_GB2312" w:cs="仿宋_GB2312"/>
          <w:b w:val="0"/>
          <w:bCs w:val="0"/>
          <w:color w:val="auto"/>
          <w:kern w:val="0"/>
          <w:sz w:val="32"/>
          <w:szCs w:val="32"/>
          <w:highlight w:val="none"/>
          <w:lang w:val="en-US" w:eastAsia="zh-CN"/>
        </w:rPr>
        <w:t>定义</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color w:val="auto"/>
          <w:kern w:val="0"/>
          <w:sz w:val="32"/>
          <w:szCs w:val="32"/>
          <w:highlight w:val="none"/>
        </w:rPr>
        <w:t>安全培训机构是指对外承揽安全培训业务，从事安全培训活动，具有独立法人资格或能够独立承担法律责任的企事业单位和社会中介机构。对从业人员的安全培训，具备安全培训条件的生产经营单位应当以自主培训为主，也可以委托具备安全培训条件的机构进行安全培训。不具备安全培训条件的生产经营单位，应当委托具有安全培训条件的机构对从业人员进行安全培训。生产经营单位委托其他机构进行安全培训的，保证安全培训的责任仍由本单位负责。</w:t>
      </w:r>
      <w:r>
        <w:rPr>
          <w:rFonts w:hint="eastAsia" w:ascii="仿宋_GB2312" w:hAnsi="仿宋_GB2312" w:eastAsia="仿宋_GB2312" w:cs="仿宋_GB2312"/>
          <w:b w:val="0"/>
          <w:bCs w:val="0"/>
          <w:color w:val="auto"/>
          <w:kern w:val="0"/>
          <w:sz w:val="32"/>
          <w:szCs w:val="32"/>
          <w:highlight w:val="none"/>
        </w:rPr>
        <w:t>（以下统称“安全培训机构”）。</w:t>
      </w:r>
    </w:p>
    <w:p>
      <w:pPr>
        <w:pStyle w:val="12"/>
        <w:keepNext w:val="0"/>
        <w:keepLines w:val="0"/>
        <w:pageBreakBefore w:val="0"/>
        <w:widowControl/>
        <w:numPr>
          <w:ilvl w:val="0"/>
          <w:numId w:val="1"/>
        </w:numPr>
        <w:tabs>
          <w:tab w:val="left" w:pos="0"/>
          <w:tab w:val="left" w:pos="10064"/>
        </w:tabs>
        <w:kinsoku/>
        <w:overflowPunct/>
        <w:topLinePunct w:val="0"/>
        <w:autoSpaceDE/>
        <w:autoSpaceDN/>
        <w:bidi w:val="0"/>
        <w:adjustRightInd w:val="0"/>
        <w:snapToGrid w:val="0"/>
        <w:spacing w:line="600" w:lineRule="exact"/>
        <w:ind w:left="250" w:firstLine="641" w:firstLineChars="0"/>
        <w:jc w:val="both"/>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【基本</w:t>
      </w:r>
      <w:r>
        <w:rPr>
          <w:rFonts w:hint="eastAsia" w:ascii="仿宋_GB2312" w:hAnsi="仿宋_GB2312" w:eastAsia="仿宋_GB2312" w:cs="仿宋_GB2312"/>
          <w:b w:val="0"/>
          <w:bCs w:val="0"/>
          <w:color w:val="auto"/>
          <w:kern w:val="0"/>
          <w:sz w:val="32"/>
          <w:szCs w:val="32"/>
          <w:highlight w:val="none"/>
          <w:lang w:val="en-US" w:eastAsia="zh-CN"/>
        </w:rPr>
        <w:t>定义</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安全生产资格考试考试点是指具体实施本市高危行业生产经营单位主要负责人、安全生产管理人员安全生产知识和管理能力考核，以及特种作业人员操作资格考核</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i w:val="0"/>
          <w:iCs w:val="0"/>
          <w:caps w:val="0"/>
          <w:color w:val="auto"/>
          <w:spacing w:val="0"/>
          <w:kern w:val="0"/>
          <w:sz w:val="32"/>
          <w:szCs w:val="32"/>
          <w:highlight w:val="none"/>
          <w:shd w:val="clear" w:fill="auto"/>
        </w:rPr>
        <w:t>提供考试服务的第三方机构</w:t>
      </w:r>
      <w:r>
        <w:rPr>
          <w:rFonts w:hint="eastAsia" w:ascii="仿宋_GB2312" w:hAnsi="仿宋_GB2312" w:eastAsia="仿宋_GB2312" w:cs="仿宋_GB2312"/>
          <w:b w:val="0"/>
          <w:bCs w:val="0"/>
          <w:color w:val="auto"/>
          <w:kern w:val="0"/>
          <w:sz w:val="32"/>
          <w:szCs w:val="32"/>
          <w:highlight w:val="none"/>
        </w:rPr>
        <w:t>（以下统称“考试点”）。</w:t>
      </w:r>
    </w:p>
    <w:p>
      <w:pPr>
        <w:pStyle w:val="13"/>
        <w:keepNext w:val="0"/>
        <w:keepLines w:val="0"/>
        <w:pageBreakBefore w:val="0"/>
        <w:numPr>
          <w:ilvl w:val="0"/>
          <w:numId w:val="1"/>
        </w:numPr>
        <w:tabs>
          <w:tab w:val="left" w:pos="10064"/>
        </w:tabs>
        <w:kinsoku/>
        <w:overflowPunct/>
        <w:topLinePunct w:val="0"/>
        <w:autoSpaceDE/>
        <w:autoSpaceDN/>
        <w:bidi w:val="0"/>
        <w:snapToGrid w:val="0"/>
        <w:spacing w:before="0" w:beforeAutospacing="0" w:after="0" w:afterAutospacing="0" w:line="600" w:lineRule="exact"/>
        <w:ind w:left="250"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【基本原则】</w:t>
      </w:r>
      <w:r>
        <w:rPr>
          <w:rFonts w:hint="eastAsia" w:ascii="仿宋_GB2312" w:hAnsi="仿宋_GB2312" w:eastAsia="仿宋_GB2312" w:cs="仿宋_GB2312"/>
          <w:b w:val="0"/>
          <w:bCs w:val="0"/>
          <w:color w:val="auto"/>
          <w:sz w:val="32"/>
          <w:szCs w:val="32"/>
          <w:highlight w:val="none"/>
        </w:rPr>
        <w:t>安全培训工作实行统一规划、归口管理、分级实施、分类指导、教考分离的原则。安全生产资格考试坚持教考分离、统一标准、统一题库、分级负责的原则。市考试机构</w:t>
      </w:r>
      <w:r>
        <w:rPr>
          <w:rFonts w:hint="eastAsia" w:ascii="仿宋_GB2312" w:hAnsi="仿宋_GB2312" w:eastAsia="仿宋_GB2312" w:cs="仿宋_GB2312"/>
          <w:b w:val="0"/>
          <w:bCs w:val="0"/>
          <w:color w:val="auto"/>
          <w:sz w:val="32"/>
          <w:szCs w:val="32"/>
          <w:highlight w:val="none"/>
          <w:lang w:eastAsia="zh-CN"/>
        </w:rPr>
        <w:t>（市地震监测中心，以下统称“市考试机构”）</w:t>
      </w:r>
      <w:r>
        <w:rPr>
          <w:rFonts w:hint="eastAsia" w:ascii="仿宋_GB2312" w:hAnsi="仿宋_GB2312" w:eastAsia="仿宋_GB2312" w:cs="仿宋_GB2312"/>
          <w:b w:val="0"/>
          <w:bCs w:val="0"/>
          <w:color w:val="auto"/>
          <w:sz w:val="32"/>
          <w:szCs w:val="32"/>
          <w:highlight w:val="none"/>
        </w:rPr>
        <w:t>不得从事与所承担考试任务有关的安全培训；同为安全培训机构的考试点不得承担本机构培训学员的安全生产资格考试。</w:t>
      </w:r>
    </w:p>
    <w:p>
      <w:pPr>
        <w:pStyle w:val="14"/>
        <w:keepNext w:val="0"/>
        <w:keepLines w:val="0"/>
        <w:pageBreakBefore w:val="0"/>
        <w:numPr>
          <w:ilvl w:val="0"/>
          <w:numId w:val="1"/>
        </w:numPr>
        <w:tabs>
          <w:tab w:val="left" w:pos="10064"/>
        </w:tabs>
        <w:kinsoku/>
        <w:overflowPunct/>
        <w:topLinePunct w:val="0"/>
        <w:autoSpaceDE/>
        <w:autoSpaceDN/>
        <w:bidi w:val="0"/>
        <w:adjustRightInd w:val="0"/>
        <w:snapToGrid w:val="0"/>
        <w:spacing w:before="0" w:beforeAutospacing="0" w:after="0" w:afterAutospacing="0" w:line="600" w:lineRule="exact"/>
        <w:ind w:left="261"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【职责</w:t>
      </w:r>
      <w:r>
        <w:rPr>
          <w:rFonts w:hint="eastAsia" w:ascii="仿宋_GB2312" w:hAnsi="仿宋_GB2312" w:eastAsia="仿宋_GB2312" w:cs="仿宋_GB2312"/>
          <w:b w:val="0"/>
          <w:bCs w:val="0"/>
          <w:color w:val="auto"/>
          <w:sz w:val="32"/>
          <w:szCs w:val="32"/>
          <w:highlight w:val="none"/>
          <w:lang w:val="en-US" w:eastAsia="zh-CN"/>
        </w:rPr>
        <w:t>分工</w:t>
      </w:r>
      <w:r>
        <w:rPr>
          <w:rFonts w:hint="eastAsia" w:ascii="仿宋_GB2312" w:hAnsi="仿宋_GB2312" w:eastAsia="仿宋_GB2312" w:cs="仿宋_GB2312"/>
          <w:b w:val="0"/>
          <w:bCs w:val="0"/>
          <w:color w:val="auto"/>
          <w:sz w:val="32"/>
          <w:szCs w:val="32"/>
          <w:highlight w:val="none"/>
        </w:rPr>
        <w:t>】市应急管理局</w:t>
      </w:r>
      <w:r>
        <w:rPr>
          <w:rFonts w:hint="eastAsia" w:ascii="仿宋" w:hAnsi="仿宋" w:eastAsia="仿宋" w:cs="仿宋"/>
          <w:b w:val="0"/>
          <w:bCs w:val="0"/>
          <w:color w:val="auto"/>
          <w:sz w:val="32"/>
          <w:szCs w:val="32"/>
          <w:highlight w:val="none"/>
          <w:lang w:eastAsia="zh-CN"/>
        </w:rPr>
        <w:t>依法</w:t>
      </w:r>
      <w:r>
        <w:rPr>
          <w:rFonts w:hint="eastAsia" w:ascii="仿宋" w:hAnsi="仿宋" w:eastAsia="仿宋" w:cs="仿宋"/>
          <w:b w:val="0"/>
          <w:bCs w:val="0"/>
          <w:color w:val="auto"/>
          <w:sz w:val="32"/>
          <w:szCs w:val="32"/>
          <w:highlight w:val="none"/>
        </w:rPr>
        <w:t>指导监督全市安全培训考核工作，会同市考试机构负责全市安全培训机构及考试点的统一规划</w:t>
      </w:r>
      <w:r>
        <w:rPr>
          <w:rFonts w:hint="eastAsia" w:ascii="仿宋" w:hAnsi="仿宋" w:eastAsia="仿宋" w:cs="仿宋"/>
          <w:b w:val="0"/>
          <w:bCs w:val="0"/>
          <w:color w:val="auto"/>
          <w:sz w:val="32"/>
          <w:szCs w:val="32"/>
          <w:highlight w:val="none"/>
          <w:lang w:eastAsia="zh-CN"/>
        </w:rPr>
        <w:t>，并</w:t>
      </w:r>
      <w:r>
        <w:rPr>
          <w:rFonts w:hint="eastAsia" w:ascii="仿宋" w:hAnsi="仿宋" w:eastAsia="仿宋" w:cs="仿宋"/>
          <w:b w:val="0"/>
          <w:bCs w:val="0"/>
          <w:color w:val="auto"/>
          <w:sz w:val="32"/>
          <w:szCs w:val="32"/>
          <w:highlight w:val="none"/>
        </w:rPr>
        <w:t>开展不定期抽查指导。</w:t>
      </w:r>
      <w:r>
        <w:rPr>
          <w:rFonts w:hint="eastAsia" w:ascii="仿宋_GB2312" w:hAnsi="仿宋_GB2312" w:eastAsia="仿宋_GB2312" w:cs="仿宋_GB2312"/>
          <w:b w:val="0"/>
          <w:bCs w:val="0"/>
          <w:color w:val="auto"/>
          <w:sz w:val="32"/>
          <w:szCs w:val="32"/>
          <w:highlight w:val="none"/>
        </w:rPr>
        <w:t>各区应急管理局按照属地</w:t>
      </w:r>
      <w:r>
        <w:rPr>
          <w:rFonts w:hint="eastAsia" w:ascii="仿宋_GB2312" w:hAnsi="仿宋_GB2312" w:eastAsia="仿宋_GB2312" w:cs="仿宋_GB2312"/>
          <w:b w:val="0"/>
          <w:bCs w:val="0"/>
          <w:color w:val="auto"/>
          <w:sz w:val="32"/>
          <w:szCs w:val="32"/>
          <w:highlight w:val="none"/>
          <w:lang w:val="en-US" w:eastAsia="zh-CN"/>
        </w:rPr>
        <w:t>管理</w:t>
      </w:r>
      <w:r>
        <w:rPr>
          <w:rFonts w:hint="eastAsia" w:ascii="仿宋_GB2312" w:hAnsi="仿宋_GB2312" w:eastAsia="仿宋_GB2312" w:cs="仿宋_GB2312"/>
          <w:b w:val="0"/>
          <w:bCs w:val="0"/>
          <w:color w:val="auto"/>
          <w:sz w:val="32"/>
          <w:szCs w:val="32"/>
          <w:highlight w:val="none"/>
        </w:rPr>
        <w:t>原则，依法对培训场所在辖区内的安全培训考核工作实施监督管理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加强对辖区内安全培训考核工作的日常</w:t>
      </w:r>
      <w:r>
        <w:rPr>
          <w:rFonts w:hint="eastAsia" w:ascii="仿宋_GB2312" w:hAnsi="仿宋_GB2312" w:eastAsia="仿宋_GB2312" w:cs="仿宋_GB2312"/>
          <w:color w:val="auto"/>
          <w:sz w:val="32"/>
          <w:szCs w:val="32"/>
          <w:highlight w:val="none"/>
        </w:rPr>
        <w:t>监督检查</w:t>
      </w:r>
      <w:r>
        <w:rPr>
          <w:rFonts w:hint="eastAsia" w:ascii="仿宋_GB2312" w:hAnsi="仿宋_GB2312" w:eastAsia="仿宋_GB2312" w:cs="仿宋_GB2312"/>
          <w:b w:val="0"/>
          <w:bCs w:val="0"/>
          <w:color w:val="auto"/>
          <w:sz w:val="32"/>
          <w:szCs w:val="32"/>
          <w:highlight w:val="none"/>
        </w:rPr>
        <w:t>，每年至少组织开展一次对安全培训机构、考试点专项检查。对安全培训机构和考试</w:t>
      </w:r>
      <w:r>
        <w:rPr>
          <w:rFonts w:hint="eastAsia" w:ascii="仿宋_GB2312" w:hAnsi="仿宋_GB2312" w:eastAsia="仿宋_GB2312" w:cs="仿宋_GB2312"/>
          <w:b w:val="0"/>
          <w:bCs w:val="0"/>
          <w:color w:val="auto"/>
          <w:sz w:val="32"/>
          <w:szCs w:val="32"/>
          <w:highlight w:val="none"/>
          <w:lang w:val="en-US" w:eastAsia="zh-CN"/>
        </w:rPr>
        <w:t>点</w:t>
      </w:r>
      <w:r>
        <w:rPr>
          <w:rFonts w:hint="eastAsia" w:ascii="仿宋_GB2312" w:hAnsi="仿宋_GB2312" w:eastAsia="仿宋_GB2312" w:cs="仿宋_GB2312"/>
          <w:b w:val="0"/>
          <w:bCs w:val="0"/>
          <w:color w:val="auto"/>
          <w:sz w:val="32"/>
          <w:szCs w:val="32"/>
          <w:highlight w:val="none"/>
        </w:rPr>
        <w:t>违反有关法律、法规的行为，依法作出处理，并向社会公告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市安全生产考试机构（以下简称“市考试机构”）承担本</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安全生产资格考试管理工作。</w:t>
      </w:r>
    </w:p>
    <w:p>
      <w:pPr>
        <w:pStyle w:val="14"/>
        <w:keepNext w:val="0"/>
        <w:keepLines w:val="0"/>
        <w:pageBreakBefore w:val="0"/>
        <w:numPr>
          <w:ilvl w:val="0"/>
          <w:numId w:val="1"/>
        </w:numPr>
        <w:tabs>
          <w:tab w:val="left" w:pos="10064"/>
        </w:tabs>
        <w:kinsoku/>
        <w:overflowPunct/>
        <w:topLinePunct w:val="0"/>
        <w:autoSpaceDE/>
        <w:autoSpaceDN/>
        <w:bidi w:val="0"/>
        <w:adjustRightInd w:val="0"/>
        <w:snapToGrid w:val="0"/>
        <w:spacing w:before="0" w:beforeAutospacing="0" w:after="0" w:afterAutospacing="0" w:line="600" w:lineRule="exact"/>
        <w:ind w:left="250" w:firstLine="641" w:firstLineChars="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【主体责任】安全培训机构应当</w:t>
      </w:r>
      <w:r>
        <w:rPr>
          <w:rFonts w:hint="eastAsia" w:ascii="仿宋_GB2312" w:hAnsi="仿宋_GB2312" w:eastAsia="仿宋_GB2312" w:cs="仿宋_GB2312"/>
          <w:b w:val="0"/>
          <w:bCs w:val="0"/>
          <w:color w:val="auto"/>
          <w:sz w:val="32"/>
          <w:szCs w:val="32"/>
          <w:highlight w:val="none"/>
          <w:lang w:eastAsia="zh-CN"/>
        </w:rPr>
        <w:t>依法履行</w:t>
      </w:r>
      <w:r>
        <w:rPr>
          <w:rFonts w:hint="eastAsia" w:ascii="仿宋_GB2312" w:hAnsi="仿宋_GB2312" w:eastAsia="仿宋_GB2312" w:cs="仿宋_GB2312"/>
          <w:b w:val="0"/>
          <w:bCs w:val="0"/>
          <w:color w:val="auto"/>
          <w:sz w:val="32"/>
          <w:szCs w:val="32"/>
          <w:highlight w:val="none"/>
        </w:rPr>
        <w:t>安全主体责任，</w:t>
      </w:r>
      <w:r>
        <w:rPr>
          <w:rFonts w:hint="eastAsia" w:ascii="仿宋_GB2312" w:hAnsi="仿宋_GB2312" w:eastAsia="仿宋_GB2312" w:cs="仿宋_GB2312"/>
          <w:b w:val="0"/>
          <w:bCs w:val="0"/>
          <w:color w:val="auto"/>
          <w:sz w:val="32"/>
          <w:szCs w:val="32"/>
          <w:highlight w:val="none"/>
          <w:lang w:eastAsia="zh-CN"/>
        </w:rPr>
        <w:t>坚持谁举办谁负责原则，建立健全</w:t>
      </w:r>
      <w:r>
        <w:rPr>
          <w:rFonts w:hint="eastAsia" w:ascii="仿宋_GB2312" w:hAnsi="仿宋_GB2312" w:eastAsia="仿宋_GB2312" w:cs="仿宋_GB2312"/>
          <w:b w:val="0"/>
          <w:bCs w:val="0"/>
          <w:color w:val="auto"/>
          <w:sz w:val="32"/>
          <w:szCs w:val="32"/>
          <w:highlight w:val="none"/>
        </w:rPr>
        <w:t>安全</w:t>
      </w:r>
      <w:r>
        <w:rPr>
          <w:rFonts w:hint="eastAsia" w:ascii="仿宋_GB2312" w:hAnsi="仿宋_GB2312" w:eastAsia="仿宋_GB2312" w:cs="仿宋_GB2312"/>
          <w:b w:val="0"/>
          <w:bCs w:val="0"/>
          <w:color w:val="auto"/>
          <w:sz w:val="32"/>
          <w:szCs w:val="32"/>
          <w:highlight w:val="none"/>
          <w:lang w:eastAsia="zh-CN"/>
        </w:rPr>
        <w:t>管理</w:t>
      </w:r>
      <w:r>
        <w:rPr>
          <w:rFonts w:hint="eastAsia" w:ascii="仿宋_GB2312" w:hAnsi="仿宋_GB2312" w:eastAsia="仿宋_GB2312" w:cs="仿宋_GB2312"/>
          <w:b w:val="0"/>
          <w:bCs w:val="0"/>
          <w:color w:val="auto"/>
          <w:sz w:val="32"/>
          <w:szCs w:val="32"/>
          <w:highlight w:val="none"/>
        </w:rPr>
        <w:t>责任制度、</w:t>
      </w:r>
      <w:r>
        <w:rPr>
          <w:rFonts w:hint="eastAsia" w:ascii="仿宋_GB2312" w:hAnsi="仿宋_GB2312" w:eastAsia="仿宋_GB2312" w:cs="仿宋_GB2312"/>
          <w:b w:val="0"/>
          <w:bCs w:val="0"/>
          <w:color w:val="auto"/>
          <w:sz w:val="32"/>
          <w:szCs w:val="32"/>
          <w:highlight w:val="none"/>
          <w:lang w:eastAsia="zh-CN"/>
        </w:rPr>
        <w:t>突发事件</w:t>
      </w:r>
      <w:r>
        <w:rPr>
          <w:rFonts w:hint="eastAsia" w:ascii="仿宋_GB2312" w:hAnsi="仿宋_GB2312" w:eastAsia="仿宋_GB2312" w:cs="仿宋_GB2312"/>
          <w:b w:val="0"/>
          <w:bCs w:val="0"/>
          <w:color w:val="auto"/>
          <w:sz w:val="32"/>
          <w:szCs w:val="32"/>
          <w:highlight w:val="none"/>
        </w:rPr>
        <w:t>应急</w:t>
      </w:r>
      <w:r>
        <w:rPr>
          <w:rFonts w:hint="eastAsia" w:ascii="仿宋_GB2312" w:hAnsi="仿宋_GB2312" w:eastAsia="仿宋_GB2312" w:cs="仿宋_GB2312"/>
          <w:b w:val="0"/>
          <w:bCs w:val="0"/>
          <w:color w:val="auto"/>
          <w:sz w:val="32"/>
          <w:szCs w:val="32"/>
          <w:highlight w:val="none"/>
          <w:lang w:eastAsia="zh-CN"/>
        </w:rPr>
        <w:t>处置机制</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eastAsia="zh-CN"/>
        </w:rPr>
        <w:t>定期排查安全隐患、定期开展安全宣传教育、定期开展应急演练，</w:t>
      </w:r>
      <w:r>
        <w:rPr>
          <w:rFonts w:hint="eastAsia" w:ascii="仿宋_GB2312" w:hAnsi="仿宋_GB2312" w:eastAsia="仿宋_GB2312" w:cs="仿宋_GB2312"/>
          <w:b w:val="0"/>
          <w:bCs w:val="0"/>
          <w:color w:val="auto"/>
          <w:sz w:val="32"/>
          <w:szCs w:val="32"/>
          <w:highlight w:val="none"/>
        </w:rPr>
        <w:t>防范</w:t>
      </w:r>
      <w:r>
        <w:rPr>
          <w:rFonts w:hint="eastAsia" w:ascii="仿宋_GB2312" w:hAnsi="仿宋_GB2312" w:eastAsia="仿宋_GB2312" w:cs="仿宋_GB2312"/>
          <w:b w:val="0"/>
          <w:bCs w:val="0"/>
          <w:color w:val="auto"/>
          <w:sz w:val="32"/>
          <w:szCs w:val="32"/>
          <w:highlight w:val="none"/>
          <w:lang w:eastAsia="zh-CN"/>
        </w:rPr>
        <w:t>和化解</w:t>
      </w:r>
      <w:r>
        <w:rPr>
          <w:rFonts w:hint="eastAsia" w:ascii="仿宋_GB2312" w:hAnsi="仿宋_GB2312" w:eastAsia="仿宋_GB2312" w:cs="仿宋_GB2312"/>
          <w:b w:val="0"/>
          <w:bCs w:val="0"/>
          <w:color w:val="auto"/>
          <w:sz w:val="32"/>
          <w:szCs w:val="32"/>
          <w:highlight w:val="none"/>
        </w:rPr>
        <w:t>安全事故发生，保障参加安全培训考试人员的安全。对依法履行监督检查职责部门的监督检查，应当予以配合，不得拒绝、阻挠。</w:t>
      </w:r>
      <w:r>
        <w:rPr>
          <w:rFonts w:hint="eastAsia" w:ascii="仿宋_GB2312" w:hAnsi="仿宋_GB2312" w:eastAsia="仿宋_GB2312" w:cs="仿宋_GB2312"/>
          <w:b w:val="0"/>
          <w:bCs w:val="0"/>
          <w:color w:val="auto"/>
          <w:sz w:val="32"/>
          <w:szCs w:val="32"/>
          <w:highlight w:val="none"/>
          <w:lang w:eastAsia="zh-CN"/>
        </w:rPr>
        <w:t>考试点依据《考场服务协议》，落实安全主体责任。</w:t>
      </w:r>
    </w:p>
    <w:p>
      <w:pPr>
        <w:pStyle w:val="6"/>
        <w:keepNext w:val="0"/>
        <w:keepLines w:val="0"/>
        <w:pageBreakBefore w:val="0"/>
        <w:numPr>
          <w:ilvl w:val="0"/>
          <w:numId w:val="1"/>
        </w:numPr>
        <w:kinsoku/>
        <w:overflowPunct/>
        <w:topLinePunct w:val="0"/>
        <w:autoSpaceDE/>
        <w:autoSpaceDN/>
        <w:bidi w:val="0"/>
        <w:adjustRightInd w:val="0"/>
        <w:snapToGrid w:val="0"/>
        <w:spacing w:before="0" w:beforeAutospacing="0" w:after="0" w:afterAutospacing="0" w:line="600" w:lineRule="exact"/>
        <w:ind w:left="250"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培训考试</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rPr>
        <w:t>统一的安全生产考试网络平台和信息管理系统，实行远程视频监控的计算机考试和实际操作考试。</w:t>
      </w:r>
      <w:r>
        <w:rPr>
          <w:rFonts w:hint="eastAsia" w:ascii="仿宋_GB2312" w:hAnsi="仿宋_GB2312" w:eastAsia="仿宋_GB2312" w:cs="仿宋_GB2312"/>
          <w:b w:val="0"/>
          <w:bCs w:val="0"/>
          <w:color w:val="auto"/>
          <w:sz w:val="32"/>
          <w:szCs w:val="32"/>
          <w:highlight w:val="none"/>
        </w:rPr>
        <w:t>市考试机构</w:t>
      </w:r>
      <w:r>
        <w:rPr>
          <w:rFonts w:hint="eastAsia" w:ascii="仿宋_GB2312" w:hAnsi="仿宋_GB2312" w:eastAsia="仿宋_GB2312" w:cs="仿宋_GB2312"/>
          <w:color w:val="auto"/>
          <w:sz w:val="32"/>
          <w:szCs w:val="32"/>
          <w:highlight w:val="none"/>
          <w:lang w:val="en-US" w:eastAsia="zh-CN"/>
        </w:rPr>
        <w:t>根据本市上年考试报考情况，制定下一年度考试计划，并报备市应急管理局，同时</w:t>
      </w:r>
      <w:r>
        <w:rPr>
          <w:rFonts w:hint="eastAsia" w:ascii="仿宋_GB2312" w:hAnsi="仿宋_GB2312" w:eastAsia="仿宋_GB2312" w:cs="仿宋_GB2312"/>
          <w:b w:val="0"/>
          <w:bCs w:val="0"/>
          <w:color w:val="auto"/>
          <w:sz w:val="32"/>
          <w:szCs w:val="32"/>
          <w:highlight w:val="none"/>
        </w:rPr>
        <w:t>在局官网公告。每月</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val="en-US" w:eastAsia="zh-CN"/>
        </w:rPr>
        <w:t>安全培训机构的</w:t>
      </w:r>
      <w:r>
        <w:rPr>
          <w:rFonts w:hint="eastAsia" w:ascii="仿宋_GB2312" w:hAnsi="仿宋_GB2312" w:eastAsia="仿宋_GB2312" w:cs="仿宋_GB2312"/>
          <w:b w:val="0"/>
          <w:bCs w:val="0"/>
          <w:color w:val="auto"/>
          <w:sz w:val="32"/>
          <w:szCs w:val="32"/>
          <w:highlight w:val="none"/>
        </w:rPr>
        <w:t>考试申请</w:t>
      </w:r>
      <w:r>
        <w:rPr>
          <w:rFonts w:hint="eastAsia" w:ascii="仿宋_GB2312" w:hAnsi="仿宋_GB2312" w:eastAsia="仿宋_GB2312" w:cs="仿宋_GB2312"/>
          <w:b w:val="0"/>
          <w:bCs w:val="0"/>
          <w:color w:val="auto"/>
          <w:sz w:val="32"/>
          <w:szCs w:val="32"/>
          <w:highlight w:val="none"/>
          <w:lang w:val="en-US" w:eastAsia="zh-CN"/>
        </w:rPr>
        <w:t>预约</w:t>
      </w:r>
      <w:r>
        <w:rPr>
          <w:rFonts w:hint="eastAsia" w:ascii="仿宋_GB2312" w:hAnsi="仿宋_GB2312" w:eastAsia="仿宋_GB2312" w:cs="仿宋_GB2312"/>
          <w:b w:val="0"/>
          <w:bCs w:val="0"/>
          <w:color w:val="auto"/>
          <w:sz w:val="32"/>
          <w:szCs w:val="32"/>
          <w:highlight w:val="none"/>
        </w:rPr>
        <w:t>情况</w:t>
      </w:r>
      <w:r>
        <w:rPr>
          <w:rFonts w:hint="eastAsia" w:ascii="仿宋_GB2312" w:hAnsi="仿宋_GB2312" w:eastAsia="仿宋_GB2312" w:cs="仿宋_GB2312"/>
          <w:b w:val="0"/>
          <w:bCs w:val="0"/>
          <w:color w:val="auto"/>
          <w:sz w:val="32"/>
          <w:szCs w:val="32"/>
          <w:highlight w:val="none"/>
          <w:lang w:val="en-US" w:eastAsia="zh-CN"/>
        </w:rPr>
        <w:t>适当调整月度</w:t>
      </w:r>
      <w:r>
        <w:rPr>
          <w:rFonts w:hint="eastAsia" w:ascii="仿宋_GB2312" w:hAnsi="仿宋_GB2312" w:eastAsia="仿宋_GB2312" w:cs="仿宋_GB2312"/>
          <w:b w:val="0"/>
          <w:bCs w:val="0"/>
          <w:color w:val="auto"/>
          <w:sz w:val="32"/>
          <w:szCs w:val="32"/>
          <w:highlight w:val="none"/>
        </w:rPr>
        <w:t>考试计划，于每月25日前将下月考试计划报省考试机构备案，</w:t>
      </w:r>
      <w:r>
        <w:rPr>
          <w:rFonts w:hint="eastAsia" w:ascii="仿宋_GB2312" w:hAnsi="仿宋_GB2312" w:eastAsia="仿宋_GB2312" w:cs="仿宋_GB2312"/>
          <w:b w:val="0"/>
          <w:bCs w:val="0"/>
          <w:color w:val="auto"/>
          <w:sz w:val="32"/>
          <w:szCs w:val="32"/>
          <w:highlight w:val="none"/>
          <w:lang w:val="en-US" w:eastAsia="zh-CN"/>
        </w:rPr>
        <w:t>同时将月度</w:t>
      </w:r>
      <w:r>
        <w:rPr>
          <w:rFonts w:hint="eastAsia" w:ascii="仿宋_GB2312" w:hAnsi="仿宋_GB2312" w:eastAsia="仿宋_GB2312" w:cs="仿宋_GB2312"/>
          <w:b w:val="0"/>
          <w:bCs w:val="0"/>
          <w:color w:val="auto"/>
          <w:sz w:val="32"/>
          <w:szCs w:val="32"/>
          <w:highlight w:val="none"/>
        </w:rPr>
        <w:t>考试计划在局官网公告。市考试机构</w:t>
      </w:r>
      <w:r>
        <w:rPr>
          <w:rFonts w:hint="eastAsia" w:ascii="仿宋_GB2312" w:hAnsi="仿宋_GB2312" w:eastAsia="仿宋_GB2312" w:cs="仿宋_GB2312"/>
          <w:b w:val="0"/>
          <w:bCs w:val="0"/>
          <w:color w:val="auto"/>
          <w:sz w:val="32"/>
          <w:szCs w:val="32"/>
          <w:highlight w:val="none"/>
          <w:lang w:val="en-US" w:eastAsia="zh-CN"/>
        </w:rPr>
        <w:t>严格</w:t>
      </w:r>
      <w:r>
        <w:rPr>
          <w:rFonts w:hint="eastAsia" w:ascii="仿宋_GB2312" w:hAnsi="仿宋_GB2312" w:eastAsia="仿宋_GB2312" w:cs="仿宋_GB2312"/>
          <w:b w:val="0"/>
          <w:bCs w:val="0"/>
          <w:color w:val="auto"/>
          <w:sz w:val="32"/>
          <w:szCs w:val="32"/>
          <w:highlight w:val="none"/>
        </w:rPr>
        <w:t>按照考试计划组织实施考试</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numPr>
          <w:ilvl w:val="0"/>
          <w:numId w:val="1"/>
        </w:numPr>
        <w:kinsoku/>
        <w:overflowPunct/>
        <w:topLinePunct w:val="0"/>
        <w:autoSpaceDE/>
        <w:autoSpaceDN/>
        <w:bidi w:val="0"/>
        <w:adjustRightInd w:val="0"/>
        <w:snapToGrid w:val="0"/>
        <w:spacing w:before="0" w:beforeAutospacing="0" w:after="0" w:afterAutospacing="0" w:line="600" w:lineRule="exact"/>
        <w:ind w:left="250"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【信息公告】</w:t>
      </w:r>
      <w:r>
        <w:rPr>
          <w:rFonts w:hint="eastAsia" w:ascii="仿宋_GB2312" w:hAnsi="仿宋_GB2312" w:eastAsia="仿宋_GB2312" w:cs="仿宋_GB2312"/>
          <w:b w:val="0"/>
          <w:bCs w:val="0"/>
          <w:color w:val="auto"/>
          <w:sz w:val="32"/>
          <w:szCs w:val="32"/>
          <w:highlight w:val="none"/>
          <w:shd w:val="clear" w:color="auto" w:fill="auto"/>
        </w:rPr>
        <w:t>市应急管理局</w:t>
      </w:r>
      <w:r>
        <w:rPr>
          <w:rFonts w:hint="eastAsia" w:ascii="仿宋_GB2312" w:hAnsi="仿宋_GB2312" w:eastAsia="仿宋_GB2312" w:cs="仿宋_GB2312"/>
          <w:b w:val="0"/>
          <w:bCs w:val="0"/>
          <w:color w:val="auto"/>
          <w:sz w:val="32"/>
          <w:szCs w:val="32"/>
          <w:highlight w:val="none"/>
          <w:shd w:val="clear" w:color="auto" w:fill="auto"/>
          <w:lang w:eastAsia="zh-CN"/>
        </w:rPr>
        <w:t>会同市考试机构</w:t>
      </w:r>
      <w:r>
        <w:rPr>
          <w:rFonts w:hint="eastAsia" w:ascii="仿宋_GB2312" w:hAnsi="仿宋_GB2312" w:eastAsia="仿宋_GB2312" w:cs="仿宋_GB2312"/>
          <w:b w:val="0"/>
          <w:bCs w:val="0"/>
          <w:color w:val="auto"/>
          <w:sz w:val="32"/>
          <w:szCs w:val="32"/>
          <w:highlight w:val="none"/>
        </w:rPr>
        <w:t>定期公布安全培训机构及考试点名单，</w:t>
      </w:r>
      <w:r>
        <w:rPr>
          <w:rFonts w:hint="eastAsia" w:ascii="仿宋_GB2312" w:hAnsi="仿宋_GB2312" w:eastAsia="仿宋_GB2312" w:cs="仿宋_GB2312"/>
          <w:color w:val="auto"/>
          <w:sz w:val="32"/>
          <w:szCs w:val="32"/>
          <w:highlight w:val="none"/>
          <w:shd w:val="clear" w:color="auto" w:fill="auto"/>
        </w:rPr>
        <w:t>供社会公众查询和监督。</w:t>
      </w:r>
      <w:r>
        <w:rPr>
          <w:rFonts w:hint="eastAsia" w:ascii="仿宋_GB2312" w:hAnsi="仿宋_GB2312" w:eastAsia="仿宋_GB2312" w:cs="仿宋_GB2312"/>
          <w:b w:val="0"/>
          <w:bCs w:val="0"/>
          <w:color w:val="auto"/>
          <w:sz w:val="32"/>
          <w:szCs w:val="32"/>
          <w:highlight w:val="none"/>
        </w:rPr>
        <w:t>每月在市局官网等媒体公告考试计划；每半年公布各安全培训机构的</w:t>
      </w:r>
      <w:r>
        <w:rPr>
          <w:rFonts w:hint="eastAsia" w:ascii="仿宋_GB2312" w:hAnsi="仿宋_GB2312" w:eastAsia="仿宋_GB2312" w:cs="仿宋_GB2312"/>
          <w:color w:val="auto"/>
          <w:sz w:val="32"/>
          <w:szCs w:val="32"/>
          <w:highlight w:val="none"/>
        </w:rPr>
        <w:t>基本情况、</w:t>
      </w:r>
      <w:r>
        <w:rPr>
          <w:rFonts w:hint="eastAsia" w:ascii="仿宋_GB2312" w:hAnsi="仿宋_GB2312" w:eastAsia="仿宋_GB2312" w:cs="仿宋_GB2312"/>
          <w:b w:val="0"/>
          <w:bCs w:val="0"/>
          <w:color w:val="auto"/>
          <w:sz w:val="32"/>
          <w:szCs w:val="32"/>
          <w:highlight w:val="none"/>
        </w:rPr>
        <w:t>培训机构学员报考情况及考试通过率</w:t>
      </w:r>
      <w:r>
        <w:rPr>
          <w:rFonts w:hint="eastAsia" w:ascii="仿宋_GB2312" w:hAnsi="仿宋_GB2312" w:eastAsia="仿宋_GB2312" w:cs="仿宋_GB2312"/>
          <w:b w:val="0"/>
          <w:bCs w:val="0"/>
          <w:color w:val="auto"/>
          <w:sz w:val="32"/>
          <w:szCs w:val="32"/>
          <w:highlight w:val="none"/>
          <w:shd w:val="clear" w:color="auto" w:fill="auto"/>
        </w:rPr>
        <w:t>等信息，供社</w:t>
      </w:r>
      <w:r>
        <w:rPr>
          <w:rFonts w:hint="eastAsia" w:ascii="仿宋_GB2312" w:hAnsi="仿宋_GB2312" w:eastAsia="仿宋_GB2312" w:cs="仿宋_GB2312"/>
          <w:b w:val="0"/>
          <w:bCs w:val="0"/>
          <w:color w:val="auto"/>
          <w:sz w:val="32"/>
          <w:szCs w:val="32"/>
          <w:highlight w:val="none"/>
        </w:rPr>
        <w:t>会查询参考。</w:t>
      </w:r>
    </w:p>
    <w:p>
      <w:pPr>
        <w:pStyle w:val="13"/>
        <w:keepNext w:val="0"/>
        <w:keepLines w:val="0"/>
        <w:pageBreakBefore w:val="0"/>
        <w:numPr>
          <w:ilvl w:val="0"/>
          <w:numId w:val="1"/>
        </w:numPr>
        <w:tabs>
          <w:tab w:val="left" w:pos="8789"/>
          <w:tab w:val="left" w:pos="10064"/>
          <w:tab w:val="left" w:pos="12619"/>
        </w:tabs>
        <w:kinsoku/>
        <w:overflowPunct/>
        <w:topLinePunct w:val="0"/>
        <w:autoSpaceDE/>
        <w:autoSpaceDN/>
        <w:bidi w:val="0"/>
        <w:adjustRightInd w:val="0"/>
        <w:snapToGrid w:val="0"/>
        <w:spacing w:before="0" w:beforeAutospacing="0" w:after="0" w:afterAutospacing="0" w:line="600" w:lineRule="exact"/>
        <w:ind w:left="250" w:firstLine="709"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【动态管理】</w:t>
      </w:r>
      <w:r>
        <w:rPr>
          <w:rFonts w:hint="eastAsia" w:ascii="仿宋_GB2312" w:hAnsi="仿宋_GB2312" w:eastAsia="仿宋_GB2312" w:cs="仿宋_GB2312"/>
          <w:b w:val="0"/>
          <w:bCs w:val="0"/>
          <w:color w:val="auto"/>
          <w:sz w:val="32"/>
          <w:szCs w:val="32"/>
          <w:highlight w:val="none"/>
          <w:lang w:eastAsia="zh-CN"/>
        </w:rPr>
        <w:t>建立培训机构</w:t>
      </w:r>
      <w:r>
        <w:rPr>
          <w:rFonts w:hint="eastAsia" w:ascii="仿宋_GB2312" w:hAnsi="仿宋_GB2312" w:eastAsia="仿宋_GB2312" w:cs="仿宋_GB2312"/>
          <w:b w:val="0"/>
          <w:bCs w:val="0"/>
          <w:color w:val="auto"/>
          <w:sz w:val="32"/>
          <w:szCs w:val="32"/>
          <w:highlight w:val="none"/>
          <w:shd w:val="clear" w:color="auto" w:fill="FFFFFF"/>
        </w:rPr>
        <w:t>及考试点</w:t>
      </w:r>
      <w:r>
        <w:rPr>
          <w:rFonts w:hint="eastAsia" w:ascii="仿宋_GB2312" w:hAnsi="仿宋_GB2312" w:eastAsia="仿宋_GB2312" w:cs="仿宋_GB2312"/>
          <w:b w:val="0"/>
          <w:bCs w:val="0"/>
          <w:color w:val="auto"/>
          <w:sz w:val="32"/>
          <w:szCs w:val="32"/>
          <w:highlight w:val="none"/>
          <w:lang w:eastAsia="zh-CN"/>
        </w:rPr>
        <w:t>负面清单制度，</w:t>
      </w:r>
      <w:r>
        <w:rPr>
          <w:rFonts w:hint="eastAsia" w:ascii="仿宋_GB2312" w:hAnsi="仿宋_GB2312" w:eastAsia="仿宋_GB2312" w:cs="仿宋_GB2312"/>
          <w:b w:val="0"/>
          <w:bCs w:val="0"/>
          <w:color w:val="auto"/>
          <w:sz w:val="32"/>
          <w:szCs w:val="32"/>
          <w:highlight w:val="none"/>
        </w:rPr>
        <w:t>对安</w:t>
      </w:r>
      <w:r>
        <w:rPr>
          <w:rFonts w:hint="eastAsia" w:ascii="仿宋_GB2312" w:hAnsi="仿宋_GB2312" w:eastAsia="仿宋_GB2312" w:cs="仿宋_GB2312"/>
          <w:b w:val="0"/>
          <w:bCs w:val="0"/>
          <w:color w:val="auto"/>
          <w:sz w:val="32"/>
          <w:szCs w:val="32"/>
          <w:highlight w:val="none"/>
          <w:shd w:val="clear" w:color="auto" w:fill="FFFFFF"/>
        </w:rPr>
        <w:t>全培训机构及考试点</w:t>
      </w:r>
      <w:r>
        <w:rPr>
          <w:rFonts w:hint="eastAsia" w:ascii="仿宋_GB2312" w:hAnsi="仿宋_GB2312" w:eastAsia="仿宋_GB2312" w:cs="仿宋_GB2312"/>
          <w:b w:val="0"/>
          <w:bCs w:val="0"/>
          <w:color w:val="auto"/>
          <w:sz w:val="32"/>
          <w:szCs w:val="32"/>
          <w:highlight w:val="none"/>
        </w:rPr>
        <w:t>的管理实行动态管理</w:t>
      </w:r>
      <w:r>
        <w:rPr>
          <w:rFonts w:hint="eastAsia" w:ascii="仿宋_GB2312" w:hAnsi="仿宋_GB2312" w:eastAsia="仿宋_GB2312" w:cs="仿宋_GB2312"/>
          <w:b w:val="0"/>
          <w:bCs w:val="0"/>
          <w:color w:val="auto"/>
          <w:sz w:val="32"/>
          <w:szCs w:val="32"/>
          <w:highlight w:val="none"/>
          <w:lang w:eastAsia="zh-CN"/>
        </w:rPr>
        <w:t>。负面清单作为开展</w:t>
      </w:r>
      <w:r>
        <w:rPr>
          <w:rFonts w:hint="eastAsia" w:ascii="仿宋_GB2312" w:hAnsi="仿宋_GB2312" w:eastAsia="仿宋_GB2312" w:cs="仿宋_GB2312"/>
          <w:b w:val="0"/>
          <w:bCs w:val="0"/>
          <w:color w:val="auto"/>
          <w:sz w:val="32"/>
          <w:szCs w:val="32"/>
          <w:highlight w:val="none"/>
        </w:rPr>
        <w:t>安全培训机构</w:t>
      </w:r>
      <w:r>
        <w:rPr>
          <w:rFonts w:hint="eastAsia" w:ascii="仿宋_GB2312" w:hAnsi="仿宋_GB2312" w:eastAsia="仿宋_GB2312" w:cs="仿宋_GB2312"/>
          <w:b w:val="0"/>
          <w:bCs w:val="0"/>
          <w:color w:val="auto"/>
          <w:sz w:val="32"/>
          <w:szCs w:val="32"/>
          <w:highlight w:val="none"/>
          <w:lang w:eastAsia="zh-CN"/>
        </w:rPr>
        <w:t>及</w:t>
      </w:r>
      <w:r>
        <w:rPr>
          <w:rFonts w:hint="eastAsia" w:ascii="仿宋_GB2312" w:hAnsi="仿宋_GB2312" w:eastAsia="仿宋_GB2312" w:cs="仿宋_GB2312"/>
          <w:b w:val="0"/>
          <w:bCs w:val="0"/>
          <w:color w:val="auto"/>
          <w:sz w:val="32"/>
          <w:szCs w:val="32"/>
          <w:highlight w:val="none"/>
        </w:rPr>
        <w:t>考试点</w:t>
      </w:r>
      <w:r>
        <w:rPr>
          <w:rFonts w:hint="eastAsia" w:ascii="仿宋_GB2312" w:hAnsi="仿宋_GB2312" w:eastAsia="仿宋_GB2312" w:cs="仿宋_GB2312"/>
          <w:b w:val="0"/>
          <w:bCs w:val="0"/>
          <w:color w:val="auto"/>
          <w:sz w:val="32"/>
          <w:szCs w:val="32"/>
          <w:highlight w:val="none"/>
          <w:lang w:eastAsia="zh-CN"/>
        </w:rPr>
        <w:t>年度检查、公告</w:t>
      </w:r>
      <w:r>
        <w:rPr>
          <w:rFonts w:hint="eastAsia" w:ascii="仿宋_GB2312" w:hAnsi="仿宋_GB2312" w:eastAsia="仿宋_GB2312" w:cs="仿宋_GB2312"/>
          <w:b w:val="0"/>
          <w:bCs w:val="0"/>
          <w:color w:val="auto"/>
          <w:sz w:val="32"/>
          <w:szCs w:val="32"/>
          <w:highlight w:val="none"/>
          <w:lang w:val="en-US" w:eastAsia="zh-CN"/>
        </w:rPr>
        <w:t>安全</w:t>
      </w:r>
      <w:r>
        <w:rPr>
          <w:rFonts w:hint="eastAsia" w:ascii="仿宋_GB2312" w:hAnsi="仿宋_GB2312" w:eastAsia="仿宋_GB2312" w:cs="仿宋_GB2312"/>
          <w:b w:val="0"/>
          <w:bCs w:val="0"/>
          <w:color w:val="auto"/>
          <w:sz w:val="32"/>
          <w:szCs w:val="32"/>
          <w:highlight w:val="none"/>
          <w:lang w:eastAsia="zh-CN"/>
        </w:rPr>
        <w:t>培训机构</w:t>
      </w:r>
      <w:r>
        <w:rPr>
          <w:rFonts w:hint="eastAsia" w:ascii="仿宋_GB2312" w:hAnsi="仿宋_GB2312" w:eastAsia="仿宋_GB2312" w:cs="仿宋_GB2312"/>
          <w:b w:val="0"/>
          <w:bCs w:val="0"/>
          <w:color w:val="auto"/>
          <w:sz w:val="32"/>
          <w:szCs w:val="32"/>
          <w:highlight w:val="none"/>
          <w:lang w:val="en-US" w:eastAsia="zh-CN"/>
        </w:rPr>
        <w:t>诚信等级</w:t>
      </w:r>
      <w:r>
        <w:rPr>
          <w:rFonts w:hint="eastAsia" w:ascii="仿宋_GB2312" w:hAnsi="仿宋_GB2312" w:eastAsia="仿宋_GB2312" w:cs="仿宋_GB2312"/>
          <w:b w:val="0"/>
          <w:bCs w:val="0"/>
          <w:color w:val="auto"/>
          <w:sz w:val="32"/>
          <w:szCs w:val="32"/>
          <w:highlight w:val="none"/>
          <w:lang w:eastAsia="zh-CN"/>
        </w:rPr>
        <w:t>名单等行政监管的重要依据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依据《考场服务协议》，可及时做出终止和限制</w:t>
      </w:r>
      <w:r>
        <w:rPr>
          <w:rFonts w:hint="eastAsia" w:ascii="仿宋_GB2312" w:hAnsi="仿宋_GB2312" w:eastAsia="仿宋_GB2312" w:cs="仿宋_GB2312"/>
          <w:b w:val="0"/>
          <w:bCs w:val="0"/>
          <w:color w:val="auto"/>
          <w:sz w:val="32"/>
          <w:szCs w:val="32"/>
          <w:highlight w:val="none"/>
          <w:lang w:eastAsia="zh-CN"/>
        </w:rPr>
        <w:t>考试点</w:t>
      </w:r>
      <w:r>
        <w:rPr>
          <w:rFonts w:hint="eastAsia" w:ascii="仿宋_GB2312" w:hAnsi="仿宋_GB2312" w:eastAsia="仿宋_GB2312" w:cs="仿宋_GB2312"/>
          <w:b w:val="0"/>
          <w:bCs w:val="0"/>
          <w:color w:val="auto"/>
          <w:sz w:val="32"/>
          <w:szCs w:val="32"/>
          <w:highlight w:val="none"/>
          <w:lang w:val="en-US" w:eastAsia="zh-CN"/>
        </w:rPr>
        <w:t>考场委托服务。</w:t>
      </w:r>
      <w:r>
        <w:rPr>
          <w:rFonts w:hint="eastAsia" w:ascii="仿宋_GB2312" w:hAnsi="仿宋_GB2312" w:eastAsia="仿宋_GB2312" w:cs="仿宋_GB2312"/>
          <w:b w:val="0"/>
          <w:bCs w:val="0"/>
          <w:color w:val="auto"/>
          <w:sz w:val="32"/>
          <w:szCs w:val="32"/>
          <w:highlight w:val="none"/>
          <w:lang w:eastAsia="zh-CN"/>
        </w:rPr>
        <w:t>负面清单内容另行公告，</w:t>
      </w:r>
      <w:r>
        <w:rPr>
          <w:rFonts w:hint="eastAsia" w:ascii="仿宋_GB2312" w:hAnsi="仿宋_GB2312" w:eastAsia="仿宋_GB2312" w:cs="仿宋_GB2312"/>
          <w:b w:val="0"/>
          <w:bCs w:val="0"/>
          <w:color w:val="auto"/>
          <w:sz w:val="32"/>
          <w:szCs w:val="32"/>
          <w:highlight w:val="none"/>
          <w:lang w:val="en-US" w:eastAsia="zh-CN"/>
        </w:rPr>
        <w:t>可</w:t>
      </w:r>
      <w:r>
        <w:rPr>
          <w:rFonts w:hint="eastAsia" w:ascii="仿宋_GB2312" w:hAnsi="仿宋_GB2312" w:eastAsia="仿宋_GB2312" w:cs="仿宋_GB2312"/>
          <w:b w:val="0"/>
          <w:bCs w:val="0"/>
          <w:color w:val="auto"/>
          <w:sz w:val="32"/>
          <w:szCs w:val="32"/>
          <w:highlight w:val="none"/>
          <w:lang w:eastAsia="zh-CN"/>
        </w:rPr>
        <w:t>进行动态调整，及时向社会公布。</w:t>
      </w:r>
    </w:p>
    <w:p>
      <w:pPr>
        <w:keepNext w:val="0"/>
        <w:keepLines w:val="0"/>
        <w:pageBreakBefore w:val="0"/>
        <w:widowControl/>
        <w:numPr>
          <w:ilvl w:val="0"/>
          <w:numId w:val="1"/>
        </w:numPr>
        <w:tabs>
          <w:tab w:val="left" w:pos="8789"/>
          <w:tab w:val="left" w:pos="10064"/>
          <w:tab w:val="left" w:pos="12619"/>
        </w:tabs>
        <w:kinsoku/>
        <w:overflowPunct/>
        <w:topLinePunct w:val="0"/>
        <w:autoSpaceDE/>
        <w:autoSpaceDN/>
        <w:bidi w:val="0"/>
        <w:adjustRightInd w:val="0"/>
        <w:snapToGrid w:val="0"/>
        <w:spacing w:line="600" w:lineRule="exact"/>
        <w:ind w:left="0" w:leftChars="0"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宣传教育</w:t>
      </w:r>
      <w:r>
        <w:rPr>
          <w:rFonts w:hint="eastAsia" w:ascii="仿宋_GB2312" w:hAnsi="仿宋_GB2312" w:eastAsia="仿宋_GB2312" w:cs="仿宋_GB2312"/>
          <w:b w:val="0"/>
          <w:bCs w:val="0"/>
          <w:color w:val="auto"/>
          <w:sz w:val="32"/>
          <w:szCs w:val="32"/>
          <w:highlight w:val="none"/>
        </w:rPr>
        <w:t>】安全培训机构及考试点应当建立内部安全培训制度，对安全培训相关情况，应当如实记录并建档备查。每年至少2次组织本单位相关人员进行安全生产培训考试业务培训或参加市考试机构组织的业务培训，提高安全培训机构及考试点相关人员的业务能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熟悉安全培训考试相关法律法规。</w:t>
      </w:r>
    </w:p>
    <w:p>
      <w:pPr>
        <w:keepNext w:val="0"/>
        <w:keepLines w:val="0"/>
        <w:pageBreakBefore w:val="0"/>
        <w:widowControl/>
        <w:numPr>
          <w:ilvl w:val="0"/>
          <w:numId w:val="1"/>
        </w:numPr>
        <w:tabs>
          <w:tab w:val="left" w:pos="8789"/>
          <w:tab w:val="left" w:pos="10064"/>
          <w:tab w:val="left" w:pos="12619"/>
        </w:tabs>
        <w:kinsoku/>
        <w:overflowPunct/>
        <w:topLinePunct w:val="0"/>
        <w:autoSpaceDE/>
        <w:autoSpaceDN/>
        <w:bidi w:val="0"/>
        <w:adjustRightInd w:val="0"/>
        <w:snapToGrid w:val="0"/>
        <w:spacing w:line="600" w:lineRule="exact"/>
        <w:ind w:left="-11" w:firstLine="641" w:firstLineChars="0"/>
        <w:jc w:val="both"/>
        <w:rPr>
          <w:rFonts w:hint="eastAsia" w:ascii="仿宋_GB2312" w:hAnsi="仿宋_GB2312" w:eastAsia="仿宋_GB2312" w:cs="仿宋_GB2312"/>
          <w:bCs w:val="0"/>
          <w:color w:val="auto"/>
          <w:kern w:val="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信用管理</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snapToGrid/>
          <w:color w:val="auto"/>
          <w:kern w:val="2"/>
          <w:sz w:val="32"/>
          <w:szCs w:val="32"/>
          <w:highlight w:val="none"/>
        </w:rPr>
        <w:t>建立培训机构监管的“守信激励”“失信惩戒措施”制度</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签订承诺书</w:t>
      </w:r>
      <w:r>
        <w:rPr>
          <w:rFonts w:hint="eastAsia" w:ascii="仿宋_GB2312" w:hAnsi="仿宋_GB2312" w:eastAsia="仿宋_GB2312" w:cs="仿宋_GB2312"/>
          <w:snapToGrid/>
          <w:color w:val="auto"/>
          <w:kern w:val="2"/>
          <w:sz w:val="32"/>
          <w:szCs w:val="32"/>
          <w:highlight w:val="none"/>
        </w:rPr>
        <w:t>。加强对培训机构守信行为的倡导和褒扬，依法对培训机构失信行为进行惩戒和约束，实行清单制管理。</w:t>
      </w:r>
    </w:p>
    <w:p>
      <w:pPr>
        <w:keepNext w:val="0"/>
        <w:keepLines w:val="0"/>
        <w:pageBreakBefore w:val="0"/>
        <w:widowControl/>
        <w:numPr>
          <w:ilvl w:val="-1"/>
          <w:numId w:val="0"/>
        </w:numPr>
        <w:tabs>
          <w:tab w:val="left" w:pos="8789"/>
          <w:tab w:val="left" w:pos="10064"/>
          <w:tab w:val="left" w:pos="12619"/>
          <w:tab w:val="left" w:pos="13897"/>
        </w:tabs>
        <w:kinsoku/>
        <w:overflowPunct/>
        <w:topLinePunct w:val="0"/>
        <w:autoSpaceDE/>
        <w:autoSpaceDN/>
        <w:bidi w:val="0"/>
        <w:adjustRightInd w:val="0"/>
        <w:snapToGrid w:val="0"/>
        <w:spacing w:line="600" w:lineRule="exact"/>
        <w:ind w:left="641" w:firstLine="0" w:firstLineChars="0"/>
        <w:jc w:val="both"/>
        <w:rPr>
          <w:rFonts w:hint="eastAsia" w:ascii="仿宋_GB2312" w:hAnsi="仿宋_GB2312" w:eastAsia="仿宋_GB2312" w:cs="仿宋_GB2312"/>
          <w:b w:val="0"/>
          <w:bCs w:val="0"/>
          <w:color w:val="auto"/>
          <w:sz w:val="32"/>
          <w:szCs w:val="32"/>
          <w:highlight w:val="none"/>
        </w:rPr>
      </w:pPr>
    </w:p>
    <w:p>
      <w:pPr>
        <w:pStyle w:val="6"/>
        <w:keepNext w:val="0"/>
        <w:keepLines w:val="0"/>
        <w:pageBreakBefore w:val="0"/>
        <w:tabs>
          <w:tab w:val="left" w:pos="8789"/>
        </w:tabs>
        <w:kinsoku/>
        <w:overflowPunct/>
        <w:topLinePunct w:val="0"/>
        <w:autoSpaceDE/>
        <w:autoSpaceDN/>
        <w:bidi w:val="0"/>
        <w:adjustRightInd w:val="0"/>
        <w:snapToGrid w:val="0"/>
        <w:spacing w:before="0" w:beforeAutospacing="0" w:after="0" w:afterAutospacing="0" w:line="600" w:lineRule="exact"/>
        <w:ind w:firstLine="1928" w:firstLineChars="6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安全培训机构管理</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191" w:leftChars="0" w:firstLine="411" w:firstLineChars="0"/>
        <w:jc w:val="both"/>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【设立方式】凡在我市从事安全培训活动的安全培训机构（包括</w:t>
      </w:r>
      <w:r>
        <w:rPr>
          <w:rFonts w:hint="eastAsia" w:ascii="仿宋_GB2312" w:hAnsi="仿宋_GB2312" w:eastAsia="仿宋_GB2312" w:cs="仿宋_GB2312"/>
          <w:b w:val="0"/>
          <w:bCs w:val="0"/>
          <w:color w:val="auto"/>
          <w:sz w:val="32"/>
          <w:szCs w:val="32"/>
          <w:highlight w:val="none"/>
          <w:shd w:val="clear" w:color="auto" w:fill="FFFFFF"/>
        </w:rPr>
        <w:t>网络培训机构）</w:t>
      </w:r>
      <w:r>
        <w:rPr>
          <w:rFonts w:hint="eastAsia" w:ascii="仿宋_GB2312" w:hAnsi="仿宋_GB2312" w:eastAsia="仿宋_GB2312" w:cs="仿宋_GB2312"/>
          <w:b w:val="0"/>
          <w:bCs w:val="0"/>
          <w:color w:val="auto"/>
          <w:sz w:val="32"/>
          <w:szCs w:val="32"/>
          <w:highlight w:val="none"/>
        </w:rPr>
        <w:t>，应向市应急管理局报告</w:t>
      </w:r>
      <w:r>
        <w:rPr>
          <w:rFonts w:hint="eastAsia" w:ascii="仿宋_GB2312" w:hAnsi="仿宋_GB2312" w:eastAsia="仿宋_GB2312" w:cs="仿宋_GB2312"/>
          <w:b w:val="0"/>
          <w:bCs w:val="0"/>
          <w:color w:val="auto"/>
          <w:sz w:val="32"/>
          <w:szCs w:val="32"/>
          <w:highlight w:val="none"/>
          <w:lang w:val="en-US" w:eastAsia="zh-CN"/>
        </w:rPr>
        <w:t>登记</w:t>
      </w:r>
      <w:r>
        <w:rPr>
          <w:rFonts w:hint="eastAsia" w:ascii="仿宋_GB2312" w:hAnsi="仿宋_GB2312" w:eastAsia="仿宋_GB2312" w:cs="仿宋_GB2312"/>
          <w:b w:val="0"/>
          <w:bCs w:val="0"/>
          <w:color w:val="auto"/>
          <w:sz w:val="32"/>
          <w:szCs w:val="32"/>
          <w:highlight w:val="none"/>
          <w:shd w:val="clear" w:color="auto" w:fill="FFFFFF"/>
        </w:rPr>
        <w:t>。网络培训机构按</w:t>
      </w:r>
      <w:r>
        <w:rPr>
          <w:rFonts w:hint="eastAsia" w:ascii="仿宋_GB2312" w:hAnsi="仿宋_GB2312" w:eastAsia="仿宋_GB2312" w:cs="仿宋_GB2312"/>
          <w:b w:val="0"/>
          <w:bCs w:val="0"/>
          <w:color w:val="auto"/>
          <w:sz w:val="32"/>
          <w:szCs w:val="32"/>
          <w:highlight w:val="none"/>
        </w:rPr>
        <w:t>《广东省应急管理厅安全生产资格考试网络培训管理办法》要求执行。</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199" w:leftChars="-95" w:firstLine="390" w:firstLineChars="0"/>
        <w:jc w:val="both"/>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kern w:val="2"/>
          <w:sz w:val="32"/>
          <w:szCs w:val="32"/>
          <w:highlight w:val="none"/>
        </w:rPr>
        <w:t>【设立</w:t>
      </w:r>
      <w:r>
        <w:rPr>
          <w:rFonts w:hint="eastAsia" w:ascii="仿宋_GB2312" w:hAnsi="仿宋_GB2312" w:eastAsia="仿宋_GB2312" w:cs="仿宋_GB2312"/>
          <w:b w:val="0"/>
          <w:bCs w:val="0"/>
          <w:color w:val="auto"/>
          <w:kern w:val="2"/>
          <w:sz w:val="32"/>
          <w:szCs w:val="32"/>
          <w:highlight w:val="none"/>
          <w:lang w:val="en-US" w:eastAsia="zh-CN"/>
        </w:rPr>
        <w:t>条件</w:t>
      </w:r>
      <w:r>
        <w:rPr>
          <w:rFonts w:hint="eastAsia" w:ascii="仿宋_GB2312" w:hAnsi="仿宋_GB2312" w:eastAsia="仿宋_GB2312" w:cs="仿宋_GB2312"/>
          <w:b w:val="0"/>
          <w:bCs w:val="0"/>
          <w:color w:val="auto"/>
          <w:kern w:val="2"/>
          <w:sz w:val="32"/>
          <w:szCs w:val="32"/>
          <w:highlight w:val="none"/>
        </w:rPr>
        <w:t>】安全培训机构应</w:t>
      </w:r>
      <w:r>
        <w:rPr>
          <w:rFonts w:hint="eastAsia" w:ascii="仿宋_GB2312" w:hAnsi="仿宋_GB2312" w:eastAsia="仿宋_GB2312" w:cs="仿宋_GB2312"/>
          <w:b w:val="0"/>
          <w:bCs w:val="0"/>
          <w:color w:val="auto"/>
          <w:kern w:val="2"/>
          <w:sz w:val="32"/>
          <w:szCs w:val="32"/>
          <w:highlight w:val="none"/>
          <w:lang w:val="en-US" w:eastAsia="zh-CN"/>
        </w:rPr>
        <w:t>具备</w:t>
      </w:r>
      <w:r>
        <w:rPr>
          <w:rFonts w:hint="eastAsia" w:ascii="仿宋_GB2312" w:hAnsi="仿宋_GB2312" w:eastAsia="仿宋_GB2312" w:cs="仿宋_GB2312"/>
          <w:b w:val="0"/>
          <w:bCs w:val="0"/>
          <w:color w:val="auto"/>
          <w:kern w:val="2"/>
          <w:sz w:val="32"/>
          <w:szCs w:val="32"/>
          <w:highlight w:val="none"/>
        </w:rPr>
        <w:t>国家、省、市</w:t>
      </w:r>
      <w:r>
        <w:rPr>
          <w:rFonts w:hint="eastAsia" w:ascii="仿宋_GB2312" w:hAnsi="仿宋_GB2312" w:eastAsia="仿宋_GB2312" w:cs="仿宋_GB2312"/>
          <w:b w:val="0"/>
          <w:bCs w:val="0"/>
          <w:color w:val="auto"/>
          <w:kern w:val="2"/>
          <w:sz w:val="32"/>
          <w:szCs w:val="32"/>
          <w:highlight w:val="none"/>
          <w:lang w:val="en-US" w:eastAsia="zh-CN"/>
        </w:rPr>
        <w:t>应急</w:t>
      </w:r>
      <w:r>
        <w:rPr>
          <w:rFonts w:hint="eastAsia" w:ascii="仿宋_GB2312" w:hAnsi="仿宋_GB2312" w:eastAsia="仿宋_GB2312" w:cs="仿宋_GB2312"/>
          <w:b w:val="0"/>
          <w:bCs w:val="0"/>
          <w:color w:val="auto"/>
          <w:kern w:val="2"/>
          <w:sz w:val="32"/>
          <w:szCs w:val="32"/>
          <w:highlight w:val="none"/>
        </w:rPr>
        <w:t>管理部门发布的</w:t>
      </w:r>
      <w:r>
        <w:rPr>
          <w:rFonts w:hint="eastAsia" w:ascii="仿宋_GB2312" w:hAnsi="仿宋_GB2312" w:eastAsia="仿宋_GB2312" w:cs="仿宋_GB2312"/>
          <w:b w:val="0"/>
          <w:bCs w:val="0"/>
          <w:color w:val="auto"/>
          <w:kern w:val="2"/>
          <w:sz w:val="32"/>
          <w:szCs w:val="32"/>
          <w:highlight w:val="none"/>
          <w:lang w:val="en-US" w:eastAsia="zh-CN"/>
        </w:rPr>
        <w:t>安全</w:t>
      </w:r>
      <w:r>
        <w:rPr>
          <w:rFonts w:hint="eastAsia" w:ascii="仿宋_GB2312" w:hAnsi="仿宋_GB2312" w:eastAsia="仿宋_GB2312" w:cs="仿宋_GB2312"/>
          <w:b w:val="0"/>
          <w:bCs w:val="0"/>
          <w:color w:val="auto"/>
          <w:kern w:val="2"/>
          <w:sz w:val="32"/>
          <w:szCs w:val="32"/>
          <w:highlight w:val="none"/>
        </w:rPr>
        <w:t>培训机构基本条件</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并提交相关佐证材料</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sz w:val="32"/>
          <w:szCs w:val="32"/>
          <w:highlight w:val="none"/>
        </w:rPr>
        <w:t>网络培训机构按《广东省应急管理厅安全生产资格考试网络培训管理办法》要求执行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fill="auto"/>
        </w:rPr>
        <w:t>从事特种作业人员安全技术培训的培训机构，其实际操作培训设备配备应当符合《国家安全监管总局关于印发特种作业安全技术实际操作考试标准及考试点设备配备标准（试行）的通知》（安监总宣教〔2014〕139号）的有关要求</w:t>
      </w:r>
      <w:r>
        <w:rPr>
          <w:rFonts w:hint="eastAsia" w:ascii="仿宋_GB2312" w:hAnsi="仿宋_GB2312" w:eastAsia="仿宋_GB2312" w:cs="仿宋_GB2312"/>
          <w:i w:val="0"/>
          <w:iCs w:val="0"/>
          <w:caps w:val="0"/>
          <w:color w:val="auto"/>
          <w:spacing w:val="0"/>
          <w:sz w:val="32"/>
          <w:szCs w:val="32"/>
          <w:highlight w:val="none"/>
          <w:shd w:val="clear" w:fill="auto"/>
          <w:lang w:eastAsia="zh-CN"/>
        </w:rPr>
        <w:t>。</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199" w:leftChars="0" w:firstLine="839" w:firstLineChars="0"/>
        <w:jc w:val="both"/>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【设立途径】拟</w:t>
      </w:r>
      <w:r>
        <w:rPr>
          <w:rFonts w:hint="eastAsia" w:ascii="仿宋_GB2312" w:hAnsi="仿宋_GB2312" w:eastAsia="仿宋_GB2312" w:cs="仿宋_GB2312"/>
          <w:b w:val="0"/>
          <w:bCs w:val="0"/>
          <w:color w:val="FF0000"/>
          <w:sz w:val="32"/>
          <w:szCs w:val="32"/>
          <w:highlight w:val="none"/>
          <w:lang w:eastAsia="zh-CN"/>
        </w:rPr>
        <w:t>新</w:t>
      </w:r>
      <w:r>
        <w:rPr>
          <w:rFonts w:hint="eastAsia" w:ascii="仿宋_GB2312" w:hAnsi="仿宋_GB2312" w:eastAsia="仿宋_GB2312" w:cs="仿宋_GB2312"/>
          <w:b w:val="0"/>
          <w:bCs w:val="0"/>
          <w:color w:val="auto"/>
          <w:sz w:val="32"/>
          <w:szCs w:val="32"/>
          <w:highlight w:val="none"/>
        </w:rPr>
        <w:t>设立安全培训机构可于每年</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月向市应急管理局提交报告材料。市应急管理局会同市考试机构、属地区应急管理局组织专家进行现场核查，符合安全培训条件的，向省应急管理厅报告，申请培训机构帐号，并在局官网公示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公告。</w:t>
      </w:r>
      <w:r>
        <w:rPr>
          <w:rFonts w:hint="eastAsia" w:ascii="仿宋_GB2312" w:hAnsi="仿宋_GB2312" w:eastAsia="仿宋_GB2312" w:cs="仿宋_GB2312"/>
          <w:b w:val="0"/>
          <w:bCs w:val="0"/>
          <w:color w:val="auto"/>
          <w:kern w:val="2"/>
          <w:sz w:val="32"/>
          <w:szCs w:val="32"/>
          <w:highlight w:val="none"/>
        </w:rPr>
        <w:t xml:space="preserve"> </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00" w:leftChars="0" w:firstLine="840" w:firstLineChars="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rPr>
        <w:t>【设立原则】安全培训机构坚持自律管理</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优胜</w:t>
      </w:r>
      <w:r>
        <w:rPr>
          <w:rFonts w:hint="eastAsia" w:ascii="仿宋_GB2312" w:hAnsi="仿宋_GB2312" w:eastAsia="仿宋_GB2312" w:cs="仿宋_GB2312"/>
          <w:b w:val="0"/>
          <w:bCs w:val="0"/>
          <w:color w:val="auto"/>
          <w:kern w:val="2"/>
          <w:sz w:val="32"/>
          <w:szCs w:val="32"/>
          <w:highlight w:val="none"/>
        </w:rPr>
        <w:t>原则。鼓励</w:t>
      </w:r>
      <w:r>
        <w:rPr>
          <w:rFonts w:hint="eastAsia" w:ascii="仿宋_GB2312" w:hAnsi="仿宋_GB2312" w:eastAsia="仿宋_GB2312" w:cs="仿宋_GB2312"/>
          <w:b w:val="0"/>
          <w:bCs w:val="0"/>
          <w:color w:val="auto"/>
          <w:kern w:val="2"/>
          <w:sz w:val="32"/>
          <w:szCs w:val="32"/>
          <w:highlight w:val="none"/>
          <w:lang w:val="en-US" w:eastAsia="zh-CN"/>
        </w:rPr>
        <w:t>具备安全培训条件的生产经营单位开展自主培训，</w:t>
      </w:r>
      <w:r>
        <w:rPr>
          <w:rFonts w:hint="eastAsia" w:ascii="仿宋_GB2312" w:hAnsi="仿宋_GB2312" w:eastAsia="仿宋_GB2312" w:cs="仿宋_GB2312"/>
          <w:b w:val="0"/>
          <w:bCs w:val="0"/>
          <w:color w:val="auto"/>
          <w:kern w:val="2"/>
          <w:sz w:val="32"/>
          <w:szCs w:val="32"/>
          <w:highlight w:val="none"/>
        </w:rPr>
        <w:t>鼓励高等学校、职业院校、技工院校，开办安全培训机构。</w:t>
      </w:r>
    </w:p>
    <w:p>
      <w:pPr>
        <w:keepNext w:val="0"/>
        <w:keepLines w:val="0"/>
        <w:pageBreakBefore w:val="0"/>
        <w:widowControl/>
        <w:numPr>
          <w:ilvl w:val="0"/>
          <w:numId w:val="1"/>
        </w:numPr>
        <w:tabs>
          <w:tab w:val="left" w:pos="10064"/>
        </w:tabs>
        <w:kinsoku/>
        <w:overflowPunct/>
        <w:topLinePunct w:val="0"/>
        <w:autoSpaceDE/>
        <w:autoSpaceDN/>
        <w:bidi w:val="0"/>
        <w:adjustRightInd w:val="0"/>
        <w:snapToGrid w:val="0"/>
        <w:spacing w:line="600" w:lineRule="exact"/>
        <w:ind w:left="-190" w:leftChars="0" w:firstLine="830" w:firstLineChars="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【提交资料】申请设立</w:t>
      </w:r>
      <w:r>
        <w:rPr>
          <w:rFonts w:hint="eastAsia" w:ascii="仿宋_GB2312" w:hAnsi="仿宋_GB2312" w:eastAsia="仿宋_GB2312" w:cs="仿宋_GB2312"/>
          <w:b w:val="0"/>
          <w:bCs w:val="0"/>
          <w:color w:val="FF0000"/>
          <w:kern w:val="0"/>
          <w:sz w:val="32"/>
          <w:szCs w:val="32"/>
          <w:highlight w:val="none"/>
          <w:lang w:eastAsia="zh-CN"/>
        </w:rPr>
        <w:t>安全</w:t>
      </w:r>
      <w:r>
        <w:rPr>
          <w:rFonts w:hint="eastAsia" w:ascii="仿宋_GB2312" w:hAnsi="仿宋_GB2312" w:eastAsia="仿宋_GB2312" w:cs="仿宋_GB2312"/>
          <w:b w:val="0"/>
          <w:bCs w:val="0"/>
          <w:color w:val="auto"/>
          <w:kern w:val="0"/>
          <w:sz w:val="32"/>
          <w:szCs w:val="32"/>
          <w:highlight w:val="none"/>
        </w:rPr>
        <w:t>培训机构须向广州市应急管理局提交下列材料（加盖单位公章）：</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（一）广州市安全培训机构信息登记</w:t>
      </w:r>
      <w:r>
        <w:rPr>
          <w:rFonts w:hint="eastAsia" w:ascii="仿宋_GB2312" w:hAnsi="仿宋_GB2312" w:eastAsia="仿宋_GB2312" w:cs="仿宋_GB2312"/>
          <w:b w:val="0"/>
          <w:bCs w:val="0"/>
          <w:color w:val="auto"/>
          <w:kern w:val="2"/>
          <w:sz w:val="32"/>
          <w:szCs w:val="32"/>
          <w:highlight w:val="none"/>
        </w:rPr>
        <w:t>表</w:t>
      </w:r>
      <w:r>
        <w:rPr>
          <w:rFonts w:hint="eastAsia" w:ascii="仿宋_GB2312" w:hAnsi="仿宋_GB2312" w:eastAsia="仿宋_GB2312" w:cs="仿宋_GB2312"/>
          <w:b w:val="0"/>
          <w:bCs w:val="0"/>
          <w:color w:val="auto"/>
          <w:kern w:val="2"/>
          <w:sz w:val="32"/>
          <w:szCs w:val="32"/>
          <w:highlight w:val="none"/>
          <w:lang w:val="en-US" w:eastAsia="zh-CN"/>
        </w:rPr>
        <w:t>及</w:t>
      </w:r>
      <w:r>
        <w:rPr>
          <w:rFonts w:hint="eastAsia" w:ascii="仿宋_GB2312" w:hAnsi="仿宋_GB2312" w:eastAsia="仿宋_GB2312" w:cs="仿宋_GB2312"/>
          <w:i w:val="0"/>
          <w:iCs w:val="0"/>
          <w:caps w:val="0"/>
          <w:color w:val="auto"/>
          <w:spacing w:val="0"/>
          <w:sz w:val="32"/>
          <w:szCs w:val="32"/>
          <w:highlight w:val="none"/>
          <w:shd w:val="clear" w:fill="auto"/>
        </w:rPr>
        <w:t>承诺</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书</w:t>
      </w:r>
      <w:r>
        <w:rPr>
          <w:rFonts w:hint="eastAsia" w:ascii="仿宋_GB2312" w:hAnsi="仿宋_GB2312" w:eastAsia="仿宋_GB2312" w:cs="仿宋_GB2312"/>
          <w:b w:val="0"/>
          <w:bCs w:val="0"/>
          <w:color w:val="auto"/>
          <w:kern w:val="0"/>
          <w:sz w:val="32"/>
          <w:szCs w:val="32"/>
          <w:highlight w:val="none"/>
        </w:rPr>
        <w:t>。</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（二）申请单位营业执照或法人登记证书（复印件1份，需核对原件）。</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（三）自有的办公用房、培训场地和设施设备的证明，</w:t>
      </w:r>
      <w:r>
        <w:rPr>
          <w:rFonts w:hint="eastAsia" w:ascii="仿宋_GB2312" w:hAnsi="仿宋_GB2312" w:eastAsia="仿宋_GB2312" w:cs="仿宋_GB2312"/>
          <w:b w:val="0"/>
          <w:bCs w:val="0"/>
          <w:color w:val="auto"/>
          <w:kern w:val="0"/>
          <w:sz w:val="32"/>
          <w:szCs w:val="32"/>
          <w:highlight w:val="none"/>
          <w:lang w:eastAsia="zh-CN"/>
        </w:rPr>
        <w:t>或</w:t>
      </w:r>
      <w:r>
        <w:rPr>
          <w:rFonts w:hint="eastAsia" w:ascii="仿宋_GB2312" w:hAnsi="仿宋_GB2312" w:eastAsia="仿宋_GB2312" w:cs="仿宋_GB2312"/>
          <w:b w:val="0"/>
          <w:bCs w:val="0"/>
          <w:color w:val="auto"/>
          <w:kern w:val="0"/>
          <w:sz w:val="32"/>
          <w:szCs w:val="32"/>
          <w:highlight w:val="none"/>
        </w:rPr>
        <w:t>非自有的办公用房、培训场地的租用协议（合同）（租赁期不少于5年）等证明(复印件1份，需核对原件）。</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（四）拟任培训机构管理人员和教学人员名单及资格证明，专职人员提供社保证明。</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五）管理制度包括：岗位责任制度、教学管理及考核、学员考核、培训登记、档案管理制度、过程控制、经费管理、后勤保障、各类培训项目安全操作规程、消防安全检查制度、安全事故应急预案、教职员工内部培训制度等。</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（六）办公场地布置照片和办公设备清单。</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（七）教学场地、设备布置照片和设备清单。</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（八）消防设施设备配置清单及现场照片。</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（九）提供培训机构现状消防验收合格证明材料、房屋建筑质量鉴定合格证明材料。</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50" w:firstLine="641" w:firstLineChars="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rPr>
        <w:t>年度</w:t>
      </w:r>
      <w:r>
        <w:rPr>
          <w:rFonts w:hint="eastAsia" w:ascii="仿宋_GB2312" w:hAnsi="仿宋_GB2312" w:eastAsia="仿宋_GB2312" w:cs="仿宋_GB2312"/>
          <w:b w:val="0"/>
          <w:bCs w:val="0"/>
          <w:color w:val="auto"/>
          <w:kern w:val="2"/>
          <w:sz w:val="32"/>
          <w:szCs w:val="32"/>
          <w:highlight w:val="none"/>
          <w:lang w:eastAsia="zh-CN"/>
        </w:rPr>
        <w:t>检查</w:t>
      </w:r>
      <w:r>
        <w:rPr>
          <w:rFonts w:hint="eastAsia" w:ascii="仿宋_GB2312" w:hAnsi="仿宋_GB2312" w:eastAsia="仿宋_GB2312" w:cs="仿宋_GB2312"/>
          <w:b w:val="0"/>
          <w:bCs w:val="0"/>
          <w:color w:val="auto"/>
          <w:kern w:val="0"/>
          <w:sz w:val="32"/>
          <w:szCs w:val="32"/>
          <w:highlight w:val="none"/>
        </w:rPr>
        <w:t>】根据本市实际，对已在册的安全培训机构进行年度</w:t>
      </w:r>
      <w:r>
        <w:rPr>
          <w:rFonts w:hint="eastAsia" w:ascii="仿宋_GB2312" w:hAnsi="仿宋_GB2312" w:eastAsia="仿宋_GB2312" w:cs="仿宋_GB2312"/>
          <w:b w:val="0"/>
          <w:bCs w:val="0"/>
          <w:color w:val="auto"/>
          <w:kern w:val="2"/>
          <w:sz w:val="32"/>
          <w:szCs w:val="32"/>
          <w:highlight w:val="none"/>
          <w:lang w:eastAsia="zh-CN"/>
        </w:rPr>
        <w:t>检查，依据</w:t>
      </w:r>
      <w:r>
        <w:rPr>
          <w:rFonts w:hint="eastAsia" w:ascii="仿宋_GB2312" w:hAnsi="仿宋_GB2312" w:eastAsia="仿宋_GB2312" w:cs="仿宋_GB2312"/>
          <w:b w:val="0"/>
          <w:bCs w:val="0"/>
          <w:color w:val="auto"/>
          <w:kern w:val="2"/>
          <w:sz w:val="32"/>
          <w:szCs w:val="32"/>
          <w:highlight w:val="none"/>
          <w:lang w:val="en-US" w:eastAsia="zh-CN"/>
        </w:rPr>
        <w:t>安全培训机构基本条件和</w:t>
      </w:r>
      <w:r>
        <w:rPr>
          <w:rFonts w:hint="eastAsia" w:ascii="仿宋_GB2312" w:hAnsi="仿宋_GB2312" w:eastAsia="仿宋_GB2312" w:cs="仿宋_GB2312"/>
          <w:b w:val="0"/>
          <w:bCs w:val="0"/>
          <w:color w:val="auto"/>
          <w:kern w:val="2"/>
          <w:sz w:val="32"/>
          <w:szCs w:val="32"/>
          <w:highlight w:val="none"/>
          <w:lang w:eastAsia="zh-CN"/>
        </w:rPr>
        <w:t>负面清单进行评估</w:t>
      </w:r>
      <w:r>
        <w:rPr>
          <w:rFonts w:hint="eastAsia" w:ascii="仿宋_GB2312" w:hAnsi="仿宋_GB2312" w:eastAsia="仿宋_GB2312" w:cs="仿宋_GB2312"/>
          <w:b w:val="0"/>
          <w:bCs w:val="0"/>
          <w:color w:val="auto"/>
          <w:kern w:val="0"/>
          <w:sz w:val="32"/>
          <w:szCs w:val="32"/>
          <w:highlight w:val="none"/>
        </w:rPr>
        <w:t>评分（评分表</w:t>
      </w:r>
      <w:r>
        <w:rPr>
          <w:rFonts w:hint="eastAsia" w:ascii="仿宋_GB2312" w:hAnsi="仿宋_GB2312" w:eastAsia="仿宋_GB2312" w:cs="仿宋_GB2312"/>
          <w:b w:val="0"/>
          <w:bCs w:val="0"/>
          <w:color w:val="auto"/>
          <w:kern w:val="2"/>
          <w:sz w:val="32"/>
          <w:szCs w:val="32"/>
          <w:highlight w:val="none"/>
          <w:lang w:eastAsia="zh-CN"/>
        </w:rPr>
        <w:t>另行规定</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评分情况在官方网站等媒体公</w:t>
      </w:r>
      <w:r>
        <w:rPr>
          <w:rFonts w:hint="eastAsia" w:ascii="仿宋_GB2312" w:hAnsi="仿宋_GB2312" w:eastAsia="仿宋_GB2312" w:cs="仿宋_GB2312"/>
          <w:b w:val="0"/>
          <w:bCs w:val="0"/>
          <w:color w:val="auto"/>
          <w:kern w:val="0"/>
          <w:sz w:val="32"/>
          <w:szCs w:val="32"/>
          <w:highlight w:val="none"/>
          <w:lang w:val="en-US" w:eastAsia="zh-CN"/>
        </w:rPr>
        <w:t>告。低于80分的，</w:t>
      </w:r>
      <w:r>
        <w:rPr>
          <w:rFonts w:hint="eastAsia" w:ascii="仿宋_GB2312" w:hAnsi="仿宋_GB2312" w:eastAsia="仿宋_GB2312" w:cs="仿宋_GB2312"/>
          <w:b w:val="0"/>
          <w:bCs w:val="0"/>
          <w:color w:val="FF0000"/>
          <w:kern w:val="0"/>
          <w:sz w:val="32"/>
          <w:szCs w:val="32"/>
          <w:highlight w:val="none"/>
          <w:lang w:val="en-US" w:eastAsia="zh-CN"/>
        </w:rPr>
        <w:t>将其移出</w:t>
      </w:r>
      <w:r>
        <w:rPr>
          <w:rFonts w:hint="eastAsia" w:ascii="仿宋_GB2312" w:hAnsi="仿宋_GB2312" w:eastAsia="仿宋_GB2312" w:cs="仿宋_GB2312"/>
          <w:b w:val="0"/>
          <w:bCs w:val="0"/>
          <w:color w:val="auto"/>
          <w:kern w:val="0"/>
          <w:sz w:val="32"/>
          <w:szCs w:val="32"/>
          <w:highlight w:val="none"/>
          <w:lang w:val="en-US" w:eastAsia="zh-CN"/>
        </w:rPr>
        <w:t>安全培训机构</w:t>
      </w:r>
      <w:r>
        <w:rPr>
          <w:rFonts w:hint="eastAsia" w:ascii="仿宋_GB2312" w:hAnsi="仿宋_GB2312" w:eastAsia="仿宋_GB2312" w:cs="仿宋_GB2312"/>
          <w:b w:val="0"/>
          <w:bCs w:val="0"/>
          <w:color w:val="FF0000"/>
          <w:kern w:val="0"/>
          <w:sz w:val="32"/>
          <w:szCs w:val="32"/>
          <w:highlight w:val="none"/>
          <w:lang w:val="en-US" w:eastAsia="zh-CN"/>
        </w:rPr>
        <w:t>名单</w:t>
      </w:r>
      <w:r>
        <w:rPr>
          <w:rFonts w:hint="eastAsia" w:ascii="仿宋_GB2312" w:hAnsi="仿宋_GB2312" w:eastAsia="仿宋_GB2312" w:cs="仿宋_GB2312"/>
          <w:b w:val="0"/>
          <w:bCs w:val="0"/>
          <w:color w:val="auto"/>
          <w:kern w:val="0"/>
          <w:sz w:val="32"/>
          <w:szCs w:val="32"/>
          <w:highlight w:val="none"/>
          <w:lang w:val="en-US" w:eastAsia="zh-CN"/>
        </w:rPr>
        <w:t>。</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50" w:firstLine="641" w:firstLineChars="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【档案管理】安全培训机构应当建立健全培训档案，完善各项培训记录内容。培训档案应保存完整，“一人一档，一期一档，分年度归集存档”。班级</w:t>
      </w:r>
      <w:r>
        <w:rPr>
          <w:rFonts w:hint="eastAsia" w:ascii="仿宋_GB2312" w:hAnsi="仿宋_GB2312" w:eastAsia="仿宋_GB2312" w:cs="仿宋_GB2312"/>
          <w:b w:val="0"/>
          <w:bCs w:val="0"/>
          <w:color w:val="auto"/>
          <w:kern w:val="0"/>
          <w:sz w:val="32"/>
          <w:szCs w:val="32"/>
          <w:highlight w:val="none"/>
          <w:lang w:val="en-US" w:eastAsia="zh-CN"/>
        </w:rPr>
        <w:t>培训</w:t>
      </w:r>
      <w:r>
        <w:rPr>
          <w:rFonts w:hint="eastAsia" w:ascii="仿宋_GB2312" w:hAnsi="仿宋_GB2312" w:eastAsia="仿宋_GB2312" w:cs="仿宋_GB2312"/>
          <w:b w:val="0"/>
          <w:bCs w:val="0"/>
          <w:color w:val="auto"/>
          <w:kern w:val="0"/>
          <w:sz w:val="32"/>
          <w:szCs w:val="32"/>
          <w:highlight w:val="none"/>
        </w:rPr>
        <w:t>档案包括</w:t>
      </w:r>
      <w:r>
        <w:rPr>
          <w:rFonts w:hint="eastAsia" w:ascii="仿宋_GB2312" w:hAnsi="仿宋_GB2312" w:eastAsia="仿宋_GB2312" w:cs="仿宋_GB2312"/>
          <w:b w:val="0"/>
          <w:bCs w:val="0"/>
          <w:color w:val="auto"/>
          <w:kern w:val="0"/>
          <w:sz w:val="32"/>
          <w:szCs w:val="32"/>
          <w:highlight w:val="none"/>
          <w:lang w:val="en-US" w:eastAsia="zh-CN"/>
        </w:rPr>
        <w:t>但不限于</w:t>
      </w:r>
      <w:r>
        <w:rPr>
          <w:rFonts w:hint="eastAsia" w:ascii="仿宋_GB2312" w:hAnsi="仿宋_GB2312" w:eastAsia="仿宋_GB2312" w:cs="仿宋_GB2312"/>
          <w:b w:val="0"/>
          <w:bCs w:val="0"/>
          <w:color w:val="auto"/>
          <w:kern w:val="0"/>
          <w:sz w:val="32"/>
          <w:szCs w:val="32"/>
          <w:highlight w:val="none"/>
        </w:rPr>
        <w:t>学员信息汇总、学员信息、培训时间、培训内容及考核情况；全过程的考勤情况记录，考核成绩汇总，培训教学日志、教学评估、教学课件等。安全培训机构应在每期安全培训</w:t>
      </w:r>
      <w:r>
        <w:rPr>
          <w:rFonts w:hint="eastAsia" w:ascii="仿宋_GB2312" w:hAnsi="仿宋_GB2312" w:eastAsia="仿宋_GB2312" w:cs="仿宋_GB2312"/>
          <w:b w:val="0"/>
          <w:bCs w:val="0"/>
          <w:color w:val="auto"/>
          <w:kern w:val="0"/>
          <w:sz w:val="32"/>
          <w:szCs w:val="32"/>
          <w:highlight w:val="none"/>
          <w:lang w:val="en-US" w:eastAsia="zh-CN"/>
        </w:rPr>
        <w:t>班</w:t>
      </w:r>
      <w:r>
        <w:rPr>
          <w:rFonts w:hint="eastAsia" w:ascii="仿宋_GB2312" w:hAnsi="仿宋_GB2312" w:eastAsia="仿宋_GB2312" w:cs="仿宋_GB2312"/>
          <w:b w:val="0"/>
          <w:bCs w:val="0"/>
          <w:color w:val="auto"/>
          <w:kern w:val="0"/>
          <w:sz w:val="32"/>
          <w:szCs w:val="32"/>
          <w:highlight w:val="none"/>
        </w:rPr>
        <w:t>结束后的15个工作日内，完成档案归档保存工作。</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50" w:firstLine="641" w:firstLineChars="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【培训要求】安全培训机构应加强自身管理，</w:t>
      </w:r>
      <w:r>
        <w:rPr>
          <w:rFonts w:hint="eastAsia" w:ascii="仿宋_GB2312" w:hAnsi="仿宋_GB2312" w:eastAsia="仿宋_GB2312" w:cs="仿宋_GB2312"/>
          <w:i w:val="0"/>
          <w:iCs w:val="0"/>
          <w:caps w:val="0"/>
          <w:color w:val="auto"/>
          <w:spacing w:val="0"/>
          <w:kern w:val="0"/>
          <w:sz w:val="32"/>
          <w:szCs w:val="32"/>
          <w:highlight w:val="none"/>
          <w:shd w:val="clear" w:fill="auto"/>
        </w:rPr>
        <w:t>应当履行保障安全培训质量的主体责任。</w:t>
      </w:r>
      <w:r>
        <w:rPr>
          <w:rFonts w:hint="eastAsia" w:ascii="仿宋_GB2312" w:hAnsi="仿宋_GB2312" w:eastAsia="仿宋_GB2312" w:cs="仿宋_GB2312"/>
          <w:b w:val="0"/>
          <w:bCs w:val="0"/>
          <w:color w:val="auto"/>
          <w:kern w:val="0"/>
          <w:sz w:val="32"/>
          <w:szCs w:val="32"/>
          <w:highlight w:val="none"/>
        </w:rPr>
        <w:t>安全培训应当按照规定的安全培训大纲进行，不得随意缩短培训时间，减少培训内容；</w:t>
      </w:r>
      <w:r>
        <w:rPr>
          <w:rFonts w:hint="eastAsia" w:ascii="仿宋_GB2312" w:hAnsi="仿宋_GB2312" w:eastAsia="仿宋_GB2312" w:cs="仿宋_GB2312"/>
          <w:b w:val="0"/>
          <w:bCs w:val="0"/>
          <w:color w:val="auto"/>
          <w:kern w:val="0"/>
          <w:sz w:val="32"/>
          <w:szCs w:val="32"/>
          <w:highlight w:val="none"/>
          <w:lang w:val="en-US" w:eastAsia="zh-CN"/>
        </w:rPr>
        <w:t>应</w:t>
      </w:r>
      <w:r>
        <w:rPr>
          <w:rFonts w:hint="eastAsia" w:ascii="仿宋_GB2312" w:hAnsi="仿宋_GB2312" w:eastAsia="仿宋_GB2312" w:cs="仿宋_GB2312"/>
          <w:b w:val="0"/>
          <w:bCs w:val="0"/>
          <w:color w:val="auto"/>
          <w:kern w:val="0"/>
          <w:sz w:val="32"/>
          <w:szCs w:val="32"/>
          <w:highlight w:val="none"/>
        </w:rPr>
        <w:t>加强对学员报考资料的严格审核。</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50" w:firstLine="641" w:firstLineChars="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【自查自纠】安全培训机构应当每半年（6月30日、12月31日之前）将机构场所条件、师资力量、教学管理、教学保障</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安全培训</w:t>
      </w:r>
      <w:r>
        <w:rPr>
          <w:rFonts w:hint="eastAsia" w:ascii="仿宋_GB2312" w:hAnsi="仿宋_GB2312" w:eastAsia="仿宋_GB2312" w:cs="仿宋_GB2312"/>
          <w:b w:val="0"/>
          <w:bCs w:val="0"/>
          <w:color w:val="auto"/>
          <w:kern w:val="0"/>
          <w:sz w:val="32"/>
          <w:szCs w:val="32"/>
          <w:highlight w:val="none"/>
          <w:lang w:eastAsia="zh-CN"/>
        </w:rPr>
        <w:t>情况、</w:t>
      </w:r>
      <w:r>
        <w:rPr>
          <w:rFonts w:hint="eastAsia" w:ascii="仿宋_GB2312" w:hAnsi="仿宋_GB2312" w:eastAsia="仿宋_GB2312" w:cs="仿宋_GB2312"/>
          <w:b w:val="0"/>
          <w:bCs w:val="0"/>
          <w:color w:val="auto"/>
          <w:kern w:val="0"/>
          <w:sz w:val="32"/>
          <w:szCs w:val="32"/>
          <w:highlight w:val="none"/>
          <w:lang w:val="en-US" w:eastAsia="zh-CN"/>
        </w:rPr>
        <w:t>隐患排查处理及应急演练</w:t>
      </w:r>
      <w:r>
        <w:rPr>
          <w:rFonts w:hint="eastAsia" w:ascii="仿宋_GB2312" w:hAnsi="仿宋_GB2312" w:eastAsia="仿宋_GB2312" w:cs="仿宋_GB2312"/>
          <w:b w:val="0"/>
          <w:bCs w:val="0"/>
          <w:color w:val="auto"/>
          <w:kern w:val="0"/>
          <w:sz w:val="32"/>
          <w:szCs w:val="32"/>
          <w:highlight w:val="none"/>
        </w:rPr>
        <w:t>等情况书面报告属地区应急管理局和市应急管理局，并接受</w:t>
      </w:r>
      <w:r>
        <w:rPr>
          <w:rFonts w:hint="eastAsia" w:ascii="仿宋_GB2312" w:hAnsi="仿宋_GB2312" w:eastAsia="仿宋_GB2312" w:cs="仿宋_GB2312"/>
          <w:b w:val="0"/>
          <w:bCs w:val="0"/>
          <w:color w:val="auto"/>
          <w:kern w:val="0"/>
          <w:sz w:val="32"/>
          <w:szCs w:val="32"/>
          <w:highlight w:val="none"/>
          <w:lang w:val="en-US" w:eastAsia="zh-CN"/>
        </w:rPr>
        <w:t>各级</w:t>
      </w:r>
      <w:r>
        <w:rPr>
          <w:rFonts w:hint="eastAsia" w:ascii="仿宋_GB2312" w:hAnsi="仿宋_GB2312" w:eastAsia="仿宋_GB2312" w:cs="仿宋_GB2312"/>
          <w:b w:val="0"/>
          <w:bCs w:val="0"/>
          <w:color w:val="auto"/>
          <w:kern w:val="0"/>
          <w:sz w:val="32"/>
          <w:szCs w:val="32"/>
          <w:highlight w:val="none"/>
        </w:rPr>
        <w:t>应急管理部门的监督检查。</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61" w:firstLine="641" w:firstLineChars="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kern w:val="0"/>
          <w:sz w:val="32"/>
          <w:szCs w:val="32"/>
          <w:highlight w:val="none"/>
        </w:rPr>
        <w:t>【培训范围】安全培训机构应按报备的安全培训项目、培训场地等开展安全培训活动，不得超越项目范围开展培训。开展高危行业主要负责人及安全管理人员的安全培训机构可以开展非高危行业主要负责人及安全管理人员的安全培训。</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61"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【收费</w:t>
      </w:r>
      <w:r>
        <w:rPr>
          <w:rFonts w:hint="eastAsia" w:ascii="仿宋_GB2312" w:hAnsi="仿宋_GB2312" w:eastAsia="仿宋_GB2312" w:cs="仿宋_GB2312"/>
          <w:b w:val="0"/>
          <w:bCs w:val="0"/>
          <w:color w:val="auto"/>
          <w:sz w:val="32"/>
          <w:szCs w:val="32"/>
          <w:highlight w:val="none"/>
          <w:lang w:val="en-US" w:eastAsia="zh-CN"/>
        </w:rPr>
        <w:t>公示</w:t>
      </w:r>
      <w:r>
        <w:rPr>
          <w:rFonts w:hint="eastAsia" w:ascii="仿宋_GB2312" w:hAnsi="仿宋_GB2312" w:eastAsia="仿宋_GB2312" w:cs="仿宋_GB2312"/>
          <w:b w:val="0"/>
          <w:bCs w:val="0"/>
          <w:color w:val="auto"/>
          <w:sz w:val="32"/>
          <w:szCs w:val="32"/>
          <w:highlight w:val="none"/>
        </w:rPr>
        <w:t>】安全培训机构从事安全培训工作的收费，应当符合法律、法规的规定。法律、法规没有规定的，应当按照行业自律标准或者指导性标准收费。安全培训机构应</w:t>
      </w:r>
      <w:r>
        <w:rPr>
          <w:rFonts w:hint="eastAsia" w:ascii="仿宋_GB2312" w:hAnsi="仿宋_GB2312" w:eastAsia="仿宋_GB2312" w:cs="仿宋_GB2312"/>
          <w:b w:val="0"/>
          <w:bCs w:val="0"/>
          <w:color w:val="auto"/>
          <w:sz w:val="32"/>
          <w:szCs w:val="32"/>
          <w:highlight w:val="none"/>
          <w:lang w:val="en-US" w:eastAsia="zh-CN"/>
        </w:rPr>
        <w:t>当</w:t>
      </w:r>
      <w:r>
        <w:rPr>
          <w:rFonts w:hint="eastAsia" w:ascii="仿宋_GB2312" w:hAnsi="仿宋_GB2312" w:eastAsia="仿宋_GB2312" w:cs="仿宋_GB2312"/>
          <w:b w:val="0"/>
          <w:bCs w:val="0"/>
          <w:color w:val="auto"/>
          <w:sz w:val="32"/>
          <w:szCs w:val="32"/>
          <w:highlight w:val="none"/>
        </w:rPr>
        <w:t>公开收费项目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收费标准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培训退费制度、监督举报电话等内容，并在培训对象缴纳培训费前予以告知。</w:t>
      </w:r>
      <w:r>
        <w:rPr>
          <w:rFonts w:hint="eastAsia" w:ascii="仿宋_GB2312" w:hAnsi="仿宋_GB2312" w:eastAsia="仿宋_GB2312" w:cs="仿宋_GB2312"/>
          <w:b w:val="0"/>
          <w:bCs w:val="0"/>
          <w:color w:val="auto"/>
          <w:sz w:val="32"/>
          <w:szCs w:val="32"/>
          <w:highlight w:val="none"/>
        </w:rPr>
        <w:t>严禁变相收费、乱收费。禁止以打压竞争对手为目的，以明显低于培训成本的价格收费。</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61"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【规范宣传】安全培训机构应当规范宣传，不得虚假广告，不得作考试包过承诺，不得出借培训账号和资格。</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61" w:firstLine="641" w:firstLineChars="0"/>
        <w:jc w:val="both"/>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rPr>
        <w:t xml:space="preserve"> 【规范报考】安全培训机构根据公告的考试计划，按照广州市</w:t>
      </w:r>
      <w:r>
        <w:rPr>
          <w:rFonts w:hint="eastAsia" w:ascii="仿宋_GB2312" w:hAnsi="仿宋_GB2312" w:eastAsia="仿宋_GB2312" w:cs="仿宋_GB2312"/>
          <w:b w:val="0"/>
          <w:bCs w:val="0"/>
          <w:color w:val="auto"/>
          <w:sz w:val="32"/>
          <w:szCs w:val="32"/>
          <w:highlight w:val="none"/>
          <w:lang w:val="en-US" w:eastAsia="zh-CN"/>
        </w:rPr>
        <w:t>安全生产资格</w:t>
      </w:r>
      <w:r>
        <w:rPr>
          <w:rFonts w:hint="eastAsia" w:ascii="仿宋_GB2312" w:hAnsi="仿宋_GB2312" w:eastAsia="仿宋_GB2312" w:cs="仿宋_GB2312"/>
          <w:b w:val="0"/>
          <w:bCs w:val="0"/>
          <w:color w:val="auto"/>
          <w:sz w:val="32"/>
          <w:szCs w:val="32"/>
          <w:highlight w:val="none"/>
        </w:rPr>
        <w:t>考试报考指引规定完成报考工作。</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61" w:firstLine="641" w:firstLineChars="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【考</w:t>
      </w:r>
      <w:r>
        <w:rPr>
          <w:rFonts w:hint="eastAsia" w:ascii="仿宋_GB2312" w:hAnsi="仿宋_GB2312" w:eastAsia="仿宋_GB2312" w:cs="仿宋_GB2312"/>
          <w:b w:val="0"/>
          <w:bCs w:val="0"/>
          <w:color w:val="auto"/>
          <w:sz w:val="32"/>
          <w:szCs w:val="32"/>
          <w:highlight w:val="none"/>
          <w:lang w:val="en-US" w:eastAsia="zh-CN"/>
        </w:rPr>
        <w:t>试</w:t>
      </w:r>
      <w:r>
        <w:rPr>
          <w:rFonts w:hint="eastAsia" w:ascii="仿宋_GB2312" w:hAnsi="仿宋_GB2312" w:eastAsia="仿宋_GB2312" w:cs="仿宋_GB2312"/>
          <w:b w:val="0"/>
          <w:bCs w:val="0"/>
          <w:color w:val="auto"/>
          <w:sz w:val="32"/>
          <w:szCs w:val="32"/>
          <w:highlight w:val="none"/>
        </w:rPr>
        <w:t>纪律】安全培训机构工作人员不得擅自进入考试区域，不得干扰监考人员、考评人员工作。</w:t>
      </w:r>
    </w:p>
    <w:p>
      <w:pPr>
        <w:keepNext w:val="0"/>
        <w:keepLines w:val="0"/>
        <w:pageBreakBefore w:val="0"/>
        <w:widowControl/>
        <w:tabs>
          <w:tab w:val="left" w:pos="10064"/>
          <w:tab w:val="left" w:pos="12619"/>
          <w:tab w:val="left" w:pos="13897"/>
        </w:tabs>
        <w:kinsoku/>
        <w:overflowPunct/>
        <w:topLinePunct w:val="0"/>
        <w:autoSpaceDE/>
        <w:autoSpaceDN/>
        <w:bidi w:val="0"/>
        <w:adjustRightInd w:val="0"/>
        <w:snapToGrid w:val="0"/>
        <w:spacing w:line="600" w:lineRule="exact"/>
        <w:ind w:left="0"/>
        <w:jc w:val="both"/>
        <w:rPr>
          <w:rFonts w:hint="eastAsia" w:ascii="仿宋_GB2312" w:hAnsi="仿宋_GB2312" w:eastAsia="仿宋_GB2312" w:cs="仿宋_GB2312"/>
          <w:b w:val="0"/>
          <w:bCs w:val="0"/>
          <w:color w:val="auto"/>
          <w:sz w:val="32"/>
          <w:szCs w:val="32"/>
          <w:highlight w:val="none"/>
        </w:rPr>
      </w:pPr>
    </w:p>
    <w:p>
      <w:pPr>
        <w:pStyle w:val="6"/>
        <w:keepNext w:val="0"/>
        <w:keepLines w:val="0"/>
        <w:pageBreakBefore w:val="0"/>
        <w:numPr>
          <w:ilvl w:val="0"/>
          <w:numId w:val="2"/>
        </w:numPr>
        <w:tabs>
          <w:tab w:val="left" w:pos="8789"/>
        </w:tabs>
        <w:kinsoku/>
        <w:overflowPunct/>
        <w:topLinePunct w:val="0"/>
        <w:autoSpaceDE/>
        <w:autoSpaceDN/>
        <w:bidi w:val="0"/>
        <w:adjustRightInd w:val="0"/>
        <w:snapToGrid w:val="0"/>
        <w:spacing w:before="0" w:beforeAutospacing="0" w:after="0" w:afterAutospacing="0"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考试点管理</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20" w:leftChars="0" w:firstLine="579"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rPr>
        <w:t>【设立</w:t>
      </w:r>
      <w:r>
        <w:rPr>
          <w:rFonts w:hint="eastAsia" w:ascii="仿宋_GB2312" w:hAnsi="仿宋_GB2312" w:eastAsia="仿宋_GB2312" w:cs="仿宋_GB2312"/>
          <w:b w:val="0"/>
          <w:bCs w:val="0"/>
          <w:color w:val="auto"/>
          <w:kern w:val="2"/>
          <w:sz w:val="32"/>
          <w:szCs w:val="32"/>
          <w:highlight w:val="none"/>
          <w:lang w:val="en-US" w:eastAsia="zh-CN"/>
        </w:rPr>
        <w:t>原则</w:t>
      </w:r>
      <w:r>
        <w:rPr>
          <w:rFonts w:hint="eastAsia" w:ascii="仿宋_GB2312" w:hAnsi="仿宋_GB2312" w:eastAsia="仿宋_GB2312" w:cs="仿宋_GB2312"/>
          <w:b w:val="0"/>
          <w:bCs w:val="0"/>
          <w:color w:val="auto"/>
          <w:kern w:val="2"/>
          <w:sz w:val="32"/>
          <w:szCs w:val="32"/>
          <w:highlight w:val="none"/>
        </w:rPr>
        <w:t>】按照“总体规划、合理布</w:t>
      </w:r>
      <w:r>
        <w:rPr>
          <w:rFonts w:hint="eastAsia" w:ascii="仿宋_GB2312" w:hAnsi="仿宋_GB2312" w:eastAsia="仿宋_GB2312" w:cs="仿宋_GB2312"/>
          <w:b w:val="0"/>
          <w:bCs w:val="0"/>
          <w:color w:val="auto"/>
          <w:sz w:val="32"/>
          <w:szCs w:val="32"/>
          <w:highlight w:val="none"/>
        </w:rPr>
        <w:t>局、高效便民、总量控制”的原则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合理</w:t>
      </w:r>
      <w:r>
        <w:rPr>
          <w:rFonts w:hint="eastAsia" w:ascii="仿宋_GB2312" w:hAnsi="仿宋_GB2312" w:eastAsia="仿宋_GB2312" w:cs="仿宋_GB2312"/>
          <w:b w:val="0"/>
          <w:bCs w:val="0"/>
          <w:color w:val="auto"/>
          <w:sz w:val="32"/>
          <w:szCs w:val="32"/>
          <w:highlight w:val="none"/>
        </w:rPr>
        <w:t>设置安全生产知识（理论）</w:t>
      </w:r>
      <w:r>
        <w:rPr>
          <w:rFonts w:hint="eastAsia" w:ascii="仿宋_GB2312" w:hAnsi="仿宋_GB2312" w:eastAsia="仿宋_GB2312" w:cs="仿宋_GB2312"/>
          <w:b w:val="0"/>
          <w:bCs w:val="0"/>
          <w:color w:val="auto"/>
          <w:sz w:val="32"/>
          <w:szCs w:val="32"/>
          <w:highlight w:val="none"/>
          <w:lang w:val="en-US" w:eastAsia="zh-CN"/>
        </w:rPr>
        <w:t>考试点</w:t>
      </w:r>
      <w:r>
        <w:rPr>
          <w:rFonts w:hint="eastAsia" w:ascii="仿宋_GB2312" w:hAnsi="仿宋_GB2312" w:eastAsia="仿宋_GB2312" w:cs="仿宋_GB2312"/>
          <w:b w:val="0"/>
          <w:bCs w:val="0"/>
          <w:color w:val="auto"/>
          <w:sz w:val="32"/>
          <w:szCs w:val="32"/>
          <w:highlight w:val="none"/>
        </w:rPr>
        <w:t>和特种作业实操考试考试点，并将设置情况向社会公布。根据本市实际，原则上各区可设立2~3家考试点。省级以上示范的高等学校、职业院校、技工院校以及大中</w:t>
      </w:r>
      <w:r>
        <w:rPr>
          <w:rFonts w:hint="eastAsia" w:ascii="仿宋_GB2312" w:hAnsi="仿宋_GB2312" w:eastAsia="仿宋_GB2312" w:cs="仿宋_GB2312"/>
          <w:b w:val="0"/>
          <w:bCs w:val="0"/>
          <w:color w:val="auto"/>
          <w:sz w:val="32"/>
          <w:szCs w:val="32"/>
          <w:highlight w:val="none"/>
          <w:lang w:val="en-US" w:eastAsia="zh-CN"/>
        </w:rPr>
        <w:t>型</w:t>
      </w:r>
      <w:r>
        <w:rPr>
          <w:rFonts w:hint="eastAsia" w:ascii="仿宋_GB2312" w:hAnsi="仿宋_GB2312" w:eastAsia="仿宋_GB2312" w:cs="仿宋_GB2312"/>
          <w:b w:val="0"/>
          <w:bCs w:val="0"/>
          <w:color w:val="auto"/>
          <w:sz w:val="32"/>
          <w:szCs w:val="32"/>
          <w:highlight w:val="none"/>
        </w:rPr>
        <w:t>企业可另行申请设立考试点。</w:t>
      </w:r>
    </w:p>
    <w:p>
      <w:pPr>
        <w:keepNext w:val="0"/>
        <w:keepLines w:val="0"/>
        <w:pageBreakBefore w:val="0"/>
        <w:widowControl/>
        <w:numPr>
          <w:ilvl w:val="0"/>
          <w:numId w:val="1"/>
        </w:numPr>
        <w:tabs>
          <w:tab w:val="left" w:pos="10064"/>
          <w:tab w:val="left" w:pos="12619"/>
        </w:tabs>
        <w:kinsoku/>
        <w:overflowPunct/>
        <w:topLinePunct w:val="0"/>
        <w:autoSpaceDE/>
        <w:autoSpaceDN/>
        <w:bidi w:val="0"/>
        <w:adjustRightInd w:val="0"/>
        <w:snapToGrid w:val="0"/>
        <w:spacing w:line="600" w:lineRule="exact"/>
        <w:ind w:left="261" w:firstLine="641"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2"/>
          <w:sz w:val="32"/>
          <w:szCs w:val="32"/>
          <w:highlight w:val="none"/>
        </w:rPr>
        <w:t xml:space="preserve"> 【</w:t>
      </w:r>
      <w:r>
        <w:rPr>
          <w:rFonts w:hint="eastAsia" w:ascii="仿宋_GB2312" w:hAnsi="仿宋_GB2312" w:eastAsia="仿宋_GB2312" w:cs="仿宋_GB2312"/>
          <w:b w:val="0"/>
          <w:bCs w:val="0"/>
          <w:color w:val="auto"/>
          <w:kern w:val="2"/>
          <w:sz w:val="32"/>
          <w:szCs w:val="32"/>
          <w:highlight w:val="none"/>
          <w:lang w:val="en-US" w:eastAsia="zh-CN"/>
        </w:rPr>
        <w:t>设立途径</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rPr>
        <w:t>安全培训机构可于每年12月向市应急管理局申请设立新增考试点。依据广东省应急管理厅</w:t>
      </w:r>
      <w:r>
        <w:rPr>
          <w:rFonts w:hint="eastAsia" w:ascii="仿宋_GB2312" w:hAnsi="仿宋_GB2312" w:eastAsia="仿宋_GB2312" w:cs="仿宋_GB2312"/>
          <w:b w:val="0"/>
          <w:bCs w:val="0"/>
          <w:color w:val="auto"/>
          <w:kern w:val="2"/>
          <w:sz w:val="32"/>
          <w:szCs w:val="32"/>
          <w:highlight w:val="none"/>
          <w:lang w:eastAsia="zh-CN"/>
        </w:rPr>
        <w:t>安全生产资格考试考试点建设要求，</w:t>
      </w:r>
      <w:r>
        <w:rPr>
          <w:rFonts w:hint="eastAsia" w:ascii="仿宋_GB2312" w:hAnsi="仿宋_GB2312" w:eastAsia="仿宋_GB2312" w:cs="仿宋_GB2312"/>
          <w:b w:val="0"/>
          <w:bCs w:val="0"/>
          <w:color w:val="auto"/>
          <w:kern w:val="2"/>
          <w:sz w:val="32"/>
          <w:szCs w:val="32"/>
          <w:highlight w:val="none"/>
        </w:rPr>
        <w:t>市应急管理局会同市考试机构和属地应急管理局</w:t>
      </w:r>
      <w:r>
        <w:rPr>
          <w:rFonts w:hint="eastAsia" w:ascii="仿宋_GB2312" w:hAnsi="仿宋_GB2312" w:eastAsia="仿宋_GB2312" w:cs="仿宋_GB2312"/>
          <w:b w:val="0"/>
          <w:bCs w:val="0"/>
          <w:color w:val="auto"/>
          <w:kern w:val="2"/>
          <w:sz w:val="32"/>
          <w:szCs w:val="32"/>
          <w:highlight w:val="none"/>
          <w:lang w:val="en-US" w:eastAsia="zh-CN"/>
        </w:rPr>
        <w:t>组织</w:t>
      </w:r>
      <w:r>
        <w:rPr>
          <w:rFonts w:hint="eastAsia" w:ascii="仿宋_GB2312" w:hAnsi="仿宋_GB2312" w:eastAsia="仿宋_GB2312" w:cs="仿宋_GB2312"/>
          <w:b w:val="0"/>
          <w:bCs w:val="0"/>
          <w:color w:val="auto"/>
          <w:kern w:val="2"/>
          <w:sz w:val="32"/>
          <w:szCs w:val="32"/>
          <w:highlight w:val="none"/>
        </w:rPr>
        <w:t xml:space="preserve">专家进行现场审核，符合条件的，向省考试机构报告，申请考试点帐号并在局官网公示。 </w:t>
      </w:r>
    </w:p>
    <w:p>
      <w:pPr>
        <w:pStyle w:val="12"/>
        <w:keepNext w:val="0"/>
        <w:keepLines w:val="0"/>
        <w:pageBreakBefore w:val="0"/>
        <w:widowControl/>
        <w:numPr>
          <w:ilvl w:val="0"/>
          <w:numId w:val="1"/>
        </w:numPr>
        <w:tabs>
          <w:tab w:val="left" w:pos="0"/>
          <w:tab w:val="left" w:pos="10064"/>
        </w:tabs>
        <w:kinsoku/>
        <w:overflowPunct/>
        <w:topLinePunct w:val="0"/>
        <w:autoSpaceDE/>
        <w:autoSpaceDN/>
        <w:bidi w:val="0"/>
        <w:adjustRightInd w:val="0"/>
        <w:snapToGrid w:val="0"/>
        <w:spacing w:line="600" w:lineRule="exact"/>
        <w:ind w:left="261" w:firstLine="641" w:firstLineChars="0"/>
        <w:jc w:val="left"/>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【考场</w:t>
      </w:r>
      <w:r>
        <w:rPr>
          <w:rFonts w:hint="eastAsia" w:ascii="仿宋_GB2312" w:hAnsi="仿宋_GB2312" w:eastAsia="仿宋_GB2312" w:cs="仿宋_GB2312"/>
          <w:b w:val="0"/>
          <w:bCs w:val="0"/>
          <w:color w:val="auto"/>
          <w:sz w:val="32"/>
          <w:szCs w:val="32"/>
          <w:highlight w:val="none"/>
          <w:lang w:val="en-US" w:eastAsia="zh-CN"/>
        </w:rPr>
        <w:t>选</w:t>
      </w:r>
      <w:r>
        <w:rPr>
          <w:rFonts w:hint="eastAsia" w:ascii="仿宋_GB2312" w:hAnsi="仿宋_GB2312" w:eastAsia="仿宋_GB2312" w:cs="仿宋_GB2312"/>
          <w:b w:val="0"/>
          <w:bCs w:val="0"/>
          <w:color w:val="auto"/>
          <w:sz w:val="32"/>
          <w:szCs w:val="32"/>
          <w:highlight w:val="none"/>
        </w:rPr>
        <w:t>用】市考试机构根据</w:t>
      </w:r>
      <w:r>
        <w:rPr>
          <w:rFonts w:hint="eastAsia" w:ascii="仿宋_GB2312" w:hAnsi="仿宋_GB2312" w:eastAsia="仿宋_GB2312" w:cs="仿宋_GB2312"/>
          <w:b w:val="0"/>
          <w:bCs w:val="0"/>
          <w:color w:val="auto"/>
          <w:sz w:val="32"/>
          <w:szCs w:val="32"/>
          <w:highlight w:val="none"/>
          <w:lang w:eastAsia="zh-CN"/>
        </w:rPr>
        <w:t>考点规划和</w:t>
      </w:r>
      <w:r>
        <w:rPr>
          <w:rFonts w:hint="eastAsia" w:ascii="仿宋_GB2312" w:hAnsi="仿宋_GB2312" w:eastAsia="仿宋_GB2312" w:cs="仿宋_GB2312"/>
          <w:b w:val="0"/>
          <w:bCs w:val="0"/>
          <w:color w:val="auto"/>
          <w:sz w:val="32"/>
          <w:szCs w:val="32"/>
          <w:highlight w:val="none"/>
          <w:lang w:val="en-US" w:eastAsia="zh-CN"/>
        </w:rPr>
        <w:t>年度</w:t>
      </w:r>
      <w:r>
        <w:rPr>
          <w:rFonts w:hint="eastAsia" w:ascii="仿宋_GB2312" w:hAnsi="仿宋_GB2312" w:eastAsia="仿宋_GB2312" w:cs="仿宋_GB2312"/>
          <w:b w:val="0"/>
          <w:bCs w:val="0"/>
          <w:color w:val="auto"/>
          <w:sz w:val="32"/>
          <w:szCs w:val="32"/>
          <w:highlight w:val="none"/>
        </w:rPr>
        <w:t>考试</w:t>
      </w:r>
      <w:r>
        <w:rPr>
          <w:rFonts w:hint="eastAsia" w:ascii="仿宋_GB2312" w:hAnsi="仿宋_GB2312" w:eastAsia="仿宋_GB2312" w:cs="仿宋_GB2312"/>
          <w:b w:val="0"/>
          <w:bCs w:val="0"/>
          <w:color w:val="auto"/>
          <w:sz w:val="32"/>
          <w:szCs w:val="32"/>
          <w:highlight w:val="none"/>
          <w:lang w:val="en-US" w:eastAsia="zh-CN"/>
        </w:rPr>
        <w:t>计划，根据有利管理和考生考试的原则，通过政府采购服务方式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选定</w:t>
      </w:r>
      <w:r>
        <w:rPr>
          <w:rFonts w:hint="eastAsia" w:ascii="仿宋_GB2312" w:hAnsi="仿宋_GB2312" w:eastAsia="仿宋_GB2312" w:cs="仿宋_GB2312"/>
          <w:b w:val="0"/>
          <w:bCs w:val="0"/>
          <w:color w:val="auto"/>
          <w:sz w:val="32"/>
          <w:szCs w:val="32"/>
          <w:highlight w:val="none"/>
        </w:rPr>
        <w:t>考试点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并与考试点</w:t>
      </w:r>
      <w:r>
        <w:rPr>
          <w:rFonts w:hint="eastAsia" w:ascii="仿宋_GB2312" w:hAnsi="仿宋_GB2312" w:eastAsia="仿宋_GB2312" w:cs="仿宋_GB2312"/>
          <w:b w:val="0"/>
          <w:bCs w:val="0"/>
          <w:color w:val="auto"/>
          <w:sz w:val="32"/>
          <w:szCs w:val="32"/>
          <w:highlight w:val="none"/>
        </w:rPr>
        <w:t>签订《考场服务协议》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考试点根据市考试机构委派考试计划提供考试考场服务。</w:t>
      </w:r>
    </w:p>
    <w:p>
      <w:pPr>
        <w:keepNext w:val="0"/>
        <w:keepLines w:val="0"/>
        <w:pageBreakBefore w:val="0"/>
        <w:widowControl/>
        <w:numPr>
          <w:ilvl w:val="0"/>
          <w:numId w:val="1"/>
        </w:numPr>
        <w:tabs>
          <w:tab w:val="left" w:pos="10064"/>
        </w:tabs>
        <w:kinsoku/>
        <w:overflowPunct/>
        <w:topLinePunct w:val="0"/>
        <w:autoSpaceDE/>
        <w:autoSpaceDN/>
        <w:bidi w:val="0"/>
        <w:adjustRightInd w:val="0"/>
        <w:snapToGrid w:val="0"/>
        <w:spacing w:line="600" w:lineRule="exact"/>
        <w:ind w:left="261" w:firstLine="358" w:firstLineChars="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【提交资料】申请设立考试点须向市应急管理局部门提交下列材料（加盖单位公章）：</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（一）《广州市安全生产资格考试点申请表》</w:t>
      </w:r>
      <w:r>
        <w:rPr>
          <w:rFonts w:hint="eastAsia" w:ascii="仿宋_GB2312" w:hAnsi="仿宋_GB2312" w:eastAsia="仿宋_GB2312" w:cs="仿宋_GB2312"/>
          <w:b w:val="0"/>
          <w:bCs w:val="0"/>
          <w:color w:val="auto"/>
          <w:kern w:val="0"/>
          <w:sz w:val="32"/>
          <w:szCs w:val="32"/>
          <w:highlight w:val="none"/>
          <w:lang w:val="en-US" w:eastAsia="zh-CN"/>
        </w:rPr>
        <w:t>及承诺书</w:t>
      </w:r>
      <w:r>
        <w:rPr>
          <w:rFonts w:hint="eastAsia" w:ascii="仿宋_GB2312" w:hAnsi="仿宋_GB2312" w:eastAsia="仿宋_GB2312" w:cs="仿宋_GB2312"/>
          <w:b w:val="0"/>
          <w:bCs w:val="0"/>
          <w:color w:val="auto"/>
          <w:kern w:val="0"/>
          <w:sz w:val="32"/>
          <w:szCs w:val="32"/>
          <w:highlight w:val="none"/>
        </w:rPr>
        <w:t>。</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（二）申请单位营业执照或法人登记证书（复印件1份，需核对原件）。</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（三）考试办公室设置及其人员任命文件。</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（四）拟任考试点管理工作人员名册（需列明姓名、年龄、学历、职责分工、专兼职等），专职人员提供社保证明。</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（五）管理制度包括：岗位职责、档案管理制度、各种设备安全操作注意事项、安全保卫制度、财务管理制度、设备设施管理制度、消防安全检查制度、考场应急预案、内部考务人员培训制度等。</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六）场地使用证明：自有的办公用房、考试点场地和设施设备的证明，非自有的办公用房、考试点场地的租用协议（合同）（租赁期不少于5年，采用合作协议方式的，各地须与合作单位签订具有优先使用权限的合作协议并明确费用及违约责任，合作期应在5年以上）。(复印件1份，需核对原件）。</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（七）考试点场地布置图及现场照片。</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（八）办公设施现场照片及设备清单。</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（九）考试点服务设施现场照片。</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（十）固定电源证明及停电方案。</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（十一）消防设施设备配置清单及现场照片。</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（十二）实操考室平面图及现场照片。</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（十三）考试验证和监控设备清单，监控设备可接入省厅监控平台。</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（十四）考试设施设备配置清单。</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（十五）提供考试点现状消防验收合格证明材料、房屋建筑质量鉴定合格证明材料。</w:t>
      </w:r>
    </w:p>
    <w:p>
      <w:pPr>
        <w:keepNext w:val="0"/>
        <w:keepLines w:val="0"/>
        <w:pageBreakBefore w:val="0"/>
        <w:widowControl/>
        <w:numPr>
          <w:ilvl w:val="0"/>
          <w:numId w:val="1"/>
        </w:numPr>
        <w:tabs>
          <w:tab w:val="left" w:pos="8789"/>
          <w:tab w:val="left" w:pos="10064"/>
        </w:tabs>
        <w:kinsoku/>
        <w:overflowPunct/>
        <w:topLinePunct w:val="0"/>
        <w:autoSpaceDE/>
        <w:autoSpaceDN/>
        <w:bidi w:val="0"/>
        <w:adjustRightInd w:val="0"/>
        <w:snapToGrid w:val="0"/>
        <w:spacing w:line="600" w:lineRule="exact"/>
        <w:ind w:left="261" w:firstLine="641" w:firstLineChars="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【考试点职责】考试点应当接受市考试机构</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管理，履行《考场服务协议》，承担安全生产资格考试具体组织实施工作，并承担市考试机构安排的其他有关工作。考试点应严格按照考试机构安排的考试计划和考试安排组织实施考试。</w:t>
      </w:r>
    </w:p>
    <w:p>
      <w:pPr>
        <w:keepNext w:val="0"/>
        <w:keepLines w:val="0"/>
        <w:pageBreakBefore w:val="0"/>
        <w:widowControl/>
        <w:numPr>
          <w:ilvl w:val="0"/>
          <w:numId w:val="1"/>
        </w:numPr>
        <w:tabs>
          <w:tab w:val="left" w:pos="8789"/>
          <w:tab w:val="left" w:pos="10064"/>
        </w:tabs>
        <w:kinsoku/>
        <w:overflowPunct/>
        <w:topLinePunct w:val="0"/>
        <w:autoSpaceDE/>
        <w:autoSpaceDN/>
        <w:bidi w:val="0"/>
        <w:adjustRightInd w:val="0"/>
        <w:snapToGrid w:val="0"/>
        <w:spacing w:line="600" w:lineRule="exact"/>
        <w:ind w:firstLine="640"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【应急处理】考试点在组织考试时如遇特殊应急情况需暂停考试任务的，应启用应急程序并及时向市考试机构报告，经市考试机构批准后及时通知考生并做好解释疏导。</w:t>
      </w:r>
    </w:p>
    <w:p>
      <w:pPr>
        <w:keepNext w:val="0"/>
        <w:keepLines w:val="0"/>
        <w:pageBreakBefore w:val="0"/>
        <w:widowControl/>
        <w:numPr>
          <w:ilvl w:val="0"/>
          <w:numId w:val="1"/>
        </w:numPr>
        <w:tabs>
          <w:tab w:val="left" w:pos="8789"/>
          <w:tab w:val="left" w:pos="10064"/>
        </w:tabs>
        <w:kinsoku/>
        <w:overflowPunct/>
        <w:topLinePunct w:val="0"/>
        <w:autoSpaceDE/>
        <w:autoSpaceDN/>
        <w:bidi w:val="0"/>
        <w:adjustRightInd w:val="0"/>
        <w:snapToGrid w:val="0"/>
        <w:spacing w:line="600" w:lineRule="exact"/>
        <w:ind w:firstLine="640"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【过程监控】考试点负责考试全过程视频监控及数据存储。在每次考试结束后，考试点应对考试全过程视频录像进行备份，按照有关档案管理办法保存备查。</w:t>
      </w:r>
    </w:p>
    <w:p>
      <w:pPr>
        <w:keepNext w:val="0"/>
        <w:keepLines w:val="0"/>
        <w:pageBreakBefore w:val="0"/>
        <w:widowControl/>
        <w:numPr>
          <w:ilvl w:val="0"/>
          <w:numId w:val="1"/>
        </w:numPr>
        <w:tabs>
          <w:tab w:val="left" w:pos="8789"/>
          <w:tab w:val="left" w:pos="10064"/>
        </w:tabs>
        <w:kinsoku/>
        <w:overflowPunct/>
        <w:topLinePunct w:val="0"/>
        <w:autoSpaceDE/>
        <w:autoSpaceDN/>
        <w:bidi w:val="0"/>
        <w:adjustRightInd w:val="0"/>
        <w:snapToGrid w:val="0"/>
        <w:spacing w:line="600" w:lineRule="exact"/>
        <w:ind w:firstLine="640"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档案管理】考试点对考试资料，均应按批次分别建立档案，对保管的档案应有立卷、归档、保管、查阅和销毁等管理制度，保证档案妥善保管、有序存放、方便查阅，严防毁损、散失和泄密。考试录音录像资料，保存期限不少于3 年；其他考试档案保存期限应当比相应证书有效期长一年。</w:t>
      </w:r>
    </w:p>
    <w:p>
      <w:pPr>
        <w:keepNext w:val="0"/>
        <w:keepLines w:val="0"/>
        <w:pageBreakBefore w:val="0"/>
        <w:widowControl/>
        <w:tabs>
          <w:tab w:val="left" w:pos="8789"/>
          <w:tab w:val="left" w:pos="10064"/>
          <w:tab w:val="left" w:pos="13897"/>
        </w:tabs>
        <w:kinsoku/>
        <w:overflowPunct/>
        <w:topLinePunct w:val="0"/>
        <w:autoSpaceDE/>
        <w:autoSpaceDN/>
        <w:bidi w:val="0"/>
        <w:adjustRightInd w:val="0"/>
        <w:snapToGrid w:val="0"/>
        <w:spacing w:line="600" w:lineRule="exact"/>
        <w:ind w:left="0"/>
        <w:jc w:val="left"/>
        <w:rPr>
          <w:rFonts w:hint="eastAsia" w:ascii="仿宋_GB2312" w:hAnsi="仿宋_GB2312" w:eastAsia="仿宋_GB2312" w:cs="仿宋_GB2312"/>
          <w:b w:val="0"/>
          <w:bCs w:val="0"/>
          <w:color w:val="auto"/>
          <w:sz w:val="32"/>
          <w:szCs w:val="32"/>
          <w:highlight w:val="none"/>
        </w:rPr>
      </w:pPr>
    </w:p>
    <w:p>
      <w:pPr>
        <w:pStyle w:val="6"/>
        <w:keepNext w:val="0"/>
        <w:keepLines w:val="0"/>
        <w:pageBreakBefore w:val="0"/>
        <w:tabs>
          <w:tab w:val="left" w:pos="8789"/>
        </w:tabs>
        <w:kinsoku/>
        <w:overflowPunct/>
        <w:topLinePunct w:val="0"/>
        <w:autoSpaceDE/>
        <w:autoSpaceDN/>
        <w:bidi w:val="0"/>
        <w:adjustRightInd w:val="0"/>
        <w:snapToGrid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宋体" w:hAnsi="宋体" w:eastAsia="宋体" w:cs="宋体"/>
          <w:b/>
          <w:bCs/>
          <w:color w:val="auto"/>
          <w:sz w:val="32"/>
          <w:szCs w:val="32"/>
          <w:highlight w:val="none"/>
        </w:rPr>
        <w:t>第四章  监督管理</w:t>
      </w:r>
    </w:p>
    <w:p>
      <w:pPr>
        <w:keepNext w:val="0"/>
        <w:keepLines w:val="0"/>
        <w:pageBreakBefore w:val="0"/>
        <w:widowControl/>
        <w:numPr>
          <w:ilvl w:val="0"/>
          <w:numId w:val="1"/>
        </w:numPr>
        <w:tabs>
          <w:tab w:val="left" w:pos="8789"/>
          <w:tab w:val="left" w:pos="10064"/>
        </w:tabs>
        <w:kinsoku/>
        <w:overflowPunct/>
        <w:topLinePunct w:val="0"/>
        <w:autoSpaceDE/>
        <w:autoSpaceDN/>
        <w:bidi w:val="0"/>
        <w:adjustRightInd w:val="0"/>
        <w:snapToGrid w:val="0"/>
        <w:spacing w:line="600" w:lineRule="exact"/>
        <w:ind w:left="261" w:firstLine="358" w:firstLineChars="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【监督检查】各区应急管理部门应当对安全培训机构开展安全培训活动的情况进行监督检查，检查内容包括：</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（一）具备从事安全培训工作所需要的条件的情况；</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（二）建立</w:t>
      </w:r>
      <w:r>
        <w:rPr>
          <w:rFonts w:hint="eastAsia" w:ascii="仿宋_GB2312" w:hAnsi="仿宋_GB2312" w:eastAsia="仿宋_GB2312" w:cs="仿宋_GB2312"/>
          <w:b w:val="0"/>
          <w:bCs w:val="0"/>
          <w:color w:val="auto"/>
          <w:kern w:val="0"/>
          <w:sz w:val="32"/>
          <w:szCs w:val="32"/>
          <w:highlight w:val="none"/>
          <w:lang w:val="en-US" w:eastAsia="zh-CN"/>
        </w:rPr>
        <w:t>执行</w:t>
      </w:r>
      <w:r>
        <w:rPr>
          <w:rFonts w:hint="eastAsia" w:ascii="仿宋_GB2312" w:hAnsi="仿宋_GB2312" w:eastAsia="仿宋_GB2312" w:cs="仿宋_GB2312"/>
          <w:b w:val="0"/>
          <w:bCs w:val="0"/>
          <w:color w:val="auto"/>
          <w:kern w:val="0"/>
          <w:sz w:val="32"/>
          <w:szCs w:val="32"/>
          <w:highlight w:val="none"/>
        </w:rPr>
        <w:t>培训管理制度和教师配备的情况；</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（三）执行培训大纲、建立培训档案和培训保障的情况；</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（四）培训收费</w:t>
      </w:r>
      <w:r>
        <w:rPr>
          <w:rFonts w:hint="eastAsia" w:ascii="仿宋_GB2312" w:hAnsi="仿宋_GB2312" w:eastAsia="仿宋_GB2312" w:cs="仿宋_GB2312"/>
          <w:b w:val="0"/>
          <w:bCs w:val="0"/>
          <w:color w:val="auto"/>
          <w:kern w:val="0"/>
          <w:sz w:val="32"/>
          <w:szCs w:val="32"/>
          <w:highlight w:val="none"/>
          <w:lang w:val="en-US" w:eastAsia="zh-CN"/>
        </w:rPr>
        <w:t>公示</w:t>
      </w:r>
      <w:r>
        <w:rPr>
          <w:rFonts w:hint="eastAsia" w:ascii="仿宋_GB2312" w:hAnsi="仿宋_GB2312" w:eastAsia="仿宋_GB2312" w:cs="仿宋_GB2312"/>
          <w:b w:val="0"/>
          <w:bCs w:val="0"/>
          <w:color w:val="auto"/>
          <w:kern w:val="0"/>
          <w:sz w:val="32"/>
          <w:szCs w:val="32"/>
          <w:highlight w:val="none"/>
        </w:rPr>
        <w:t>情况</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培训对象缴纳培训费前是否予以告知</w:t>
      </w:r>
      <w:r>
        <w:rPr>
          <w:rFonts w:hint="eastAsia" w:ascii="仿宋_GB2312" w:hAnsi="仿宋_GB2312" w:eastAsia="仿宋_GB2312" w:cs="仿宋_GB2312"/>
          <w:b w:val="0"/>
          <w:bCs w:val="0"/>
          <w:color w:val="auto"/>
          <w:kern w:val="0"/>
          <w:sz w:val="32"/>
          <w:szCs w:val="32"/>
          <w:highlight w:val="none"/>
        </w:rPr>
        <w:t>；</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（五）查处涉及本辖区内培训机构和考试点的投诉；</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（六）是否有超越报备培训项目开展培训及出借培训资质情况</w:t>
      </w:r>
      <w:r>
        <w:rPr>
          <w:rFonts w:hint="eastAsia" w:ascii="仿宋_GB2312" w:hAnsi="仿宋_GB2312" w:eastAsia="仿宋_GB2312" w:cs="仿宋_GB2312"/>
          <w:b w:val="0"/>
          <w:bCs w:val="0"/>
          <w:color w:val="auto"/>
          <w:kern w:val="0"/>
          <w:sz w:val="32"/>
          <w:szCs w:val="32"/>
          <w:highlight w:val="none"/>
          <w:lang w:val="en-US" w:eastAsia="zh-CN"/>
        </w:rPr>
        <w:t>；</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i w:val="0"/>
          <w:iCs w:val="0"/>
          <w:caps w:val="0"/>
          <w:color w:val="auto"/>
          <w:spacing w:val="0"/>
          <w:kern w:val="0"/>
          <w:sz w:val="32"/>
          <w:szCs w:val="32"/>
          <w:highlight w:val="none"/>
          <w:shd w:val="clear"/>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（七）</w:t>
      </w:r>
      <w:r>
        <w:rPr>
          <w:rFonts w:hint="eastAsia" w:ascii="仿宋_GB2312" w:hAnsi="仿宋_GB2312" w:eastAsia="仿宋_GB2312" w:cs="仿宋_GB2312"/>
          <w:i w:val="0"/>
          <w:iCs w:val="0"/>
          <w:caps w:val="0"/>
          <w:color w:val="auto"/>
          <w:spacing w:val="0"/>
          <w:kern w:val="0"/>
          <w:sz w:val="32"/>
          <w:szCs w:val="32"/>
          <w:highlight w:val="none"/>
          <w:shd w:val="clear" w:fill="auto"/>
        </w:rPr>
        <w:t>是否存在虚假培训和恶性竞争的情况</w:t>
      </w:r>
      <w:r>
        <w:rPr>
          <w:rFonts w:hint="eastAsia" w:ascii="仿宋_GB2312" w:hAnsi="仿宋_GB2312" w:eastAsia="仿宋_GB2312" w:cs="仿宋_GB2312"/>
          <w:i w:val="0"/>
          <w:iCs w:val="0"/>
          <w:caps w:val="0"/>
          <w:color w:val="auto"/>
          <w:spacing w:val="0"/>
          <w:kern w:val="0"/>
          <w:sz w:val="32"/>
          <w:szCs w:val="32"/>
          <w:highlight w:val="none"/>
          <w:shd w:val="clear"/>
          <w:lang w:val="en-US" w:eastAsia="zh-CN"/>
        </w:rPr>
        <w:t>；</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i w:val="0"/>
          <w:iCs w:val="0"/>
          <w:caps w:val="0"/>
          <w:color w:val="auto"/>
          <w:spacing w:val="0"/>
          <w:kern w:val="0"/>
          <w:sz w:val="32"/>
          <w:szCs w:val="32"/>
          <w:highlight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lang w:val="en-US" w:eastAsia="zh-CN"/>
        </w:rPr>
        <w:t>（八）</w:t>
      </w:r>
      <w:r>
        <w:rPr>
          <w:rFonts w:hint="eastAsia" w:ascii="仿宋_GB2312" w:hAnsi="仿宋_GB2312" w:eastAsia="仿宋_GB2312" w:cs="仿宋_GB2312"/>
          <w:i w:val="0"/>
          <w:iCs w:val="0"/>
          <w:caps w:val="0"/>
          <w:color w:val="auto"/>
          <w:spacing w:val="0"/>
          <w:kern w:val="0"/>
          <w:sz w:val="32"/>
          <w:szCs w:val="32"/>
          <w:highlight w:val="none"/>
          <w:shd w:val="clear"/>
        </w:rPr>
        <w:t>是否存在虚假</w:t>
      </w:r>
      <w:r>
        <w:rPr>
          <w:rFonts w:hint="eastAsia" w:ascii="仿宋_GB2312" w:hAnsi="仿宋_GB2312" w:eastAsia="仿宋_GB2312" w:cs="仿宋_GB2312"/>
          <w:i w:val="0"/>
          <w:iCs w:val="0"/>
          <w:caps w:val="0"/>
          <w:color w:val="auto"/>
          <w:spacing w:val="0"/>
          <w:kern w:val="0"/>
          <w:sz w:val="32"/>
          <w:szCs w:val="32"/>
          <w:highlight w:val="none"/>
          <w:shd w:val="clear"/>
          <w:lang w:val="en-US" w:eastAsia="zh-CN"/>
        </w:rPr>
        <w:t>广告，承诺考试包过的情况；</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lang w:val="en-US" w:eastAsia="zh-CN"/>
        </w:rPr>
        <w:t>（九）</w:t>
      </w:r>
      <w:r>
        <w:rPr>
          <w:rFonts w:hint="eastAsia" w:ascii="仿宋_GB2312" w:hAnsi="仿宋_GB2312" w:eastAsia="仿宋_GB2312" w:cs="仿宋_GB2312"/>
          <w:i w:val="0"/>
          <w:iCs w:val="0"/>
          <w:caps w:val="0"/>
          <w:color w:val="auto"/>
          <w:spacing w:val="0"/>
          <w:kern w:val="0"/>
          <w:sz w:val="32"/>
          <w:szCs w:val="32"/>
          <w:highlight w:val="none"/>
          <w:shd w:val="clear" w:fill="auto"/>
        </w:rPr>
        <w:t>法律法规规章规定的其他内容。</w:t>
      </w:r>
    </w:p>
    <w:p>
      <w:pPr>
        <w:pStyle w:val="16"/>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0" w:line="600" w:lineRule="exact"/>
        <w:ind w:left="261" w:firstLine="358" w:firstLineChars="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【法律责任】安全培训机构有下列情形之一的，责令限期改正，处1万元以下的罚款；逾期未改正的，给予警告，处1万元以上3万元以下的罚款：</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（一）不具备安全培训条件的；</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（二）未按照统一的培训大纲组织教学培训的；</w:t>
      </w:r>
    </w:p>
    <w:p>
      <w:pPr>
        <w:keepNext w:val="0"/>
        <w:keepLines w:val="0"/>
        <w:pageBreakBefore w:val="0"/>
        <w:widowControl/>
        <w:tabs>
          <w:tab w:val="left" w:pos="10064"/>
        </w:tabs>
        <w:kinsoku/>
        <w:overflowPunct/>
        <w:topLinePunct w:val="0"/>
        <w:autoSpaceDE/>
        <w:autoSpaceDN/>
        <w:bidi w:val="0"/>
        <w:adjustRightInd w:val="0"/>
        <w:snapToGrid w:val="0"/>
        <w:spacing w:line="600" w:lineRule="exact"/>
        <w:ind w:firstLine="358" w:firstLineChars="112"/>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rPr>
        <w:t>（三）未建立培训档案或者培训档案管理不规范的；</w:t>
      </w:r>
    </w:p>
    <w:p>
      <w:pPr>
        <w:keepNext w:val="0"/>
        <w:keepLines w:val="0"/>
        <w:pageBreakBefore w:val="0"/>
        <w:shd w:val="clear" w:color="auto" w:fill="FFFFFF"/>
        <w:kinsoku/>
        <w:overflowPunct/>
        <w:topLinePunct w:val="0"/>
        <w:autoSpaceDE/>
        <w:autoSpaceDN/>
        <w:bidi w:val="0"/>
        <w:snapToGrid/>
        <w:spacing w:after="0" w:line="600" w:lineRule="exact"/>
        <w:ind w:firstLine="358" w:firstLineChars="112"/>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安全培训机构采取不正当竞争手段，故意贬低、诋毁其他安全培训机构的，依照前款规定处罚。</w:t>
      </w:r>
    </w:p>
    <w:p>
      <w:pPr>
        <w:pStyle w:val="16"/>
        <w:keepNext w:val="0"/>
        <w:keepLines w:val="0"/>
        <w:pageBreakBefore w:val="0"/>
        <w:numPr>
          <w:ilvl w:val="0"/>
          <w:numId w:val="1"/>
        </w:numPr>
        <w:shd w:val="clear" w:color="auto" w:fill="FFFFFF"/>
        <w:kinsoku/>
        <w:overflowPunct/>
        <w:topLinePunct w:val="0"/>
        <w:autoSpaceDE/>
        <w:autoSpaceDN/>
        <w:bidi w:val="0"/>
        <w:spacing w:after="0" w:line="600" w:lineRule="exact"/>
        <w:ind w:left="-11" w:leftChars="0" w:firstLine="641" w:firstLineChars="0"/>
        <w:jc w:val="lef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rPr>
        <w:t>【监督</w:t>
      </w:r>
      <w:r>
        <w:rPr>
          <w:rFonts w:hint="eastAsia" w:ascii="仿宋_GB2312" w:hAnsi="仿宋_GB2312" w:eastAsia="仿宋_GB2312" w:cs="仿宋_GB2312"/>
          <w:b w:val="0"/>
          <w:bCs w:val="0"/>
          <w:color w:val="auto"/>
          <w:kern w:val="2"/>
          <w:sz w:val="32"/>
          <w:szCs w:val="32"/>
          <w:highlight w:val="none"/>
          <w:lang w:val="en-US" w:eastAsia="zh-CN"/>
        </w:rPr>
        <w:t>管理</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eastAsia="zh-CN"/>
        </w:rPr>
        <w:t>考试机构应</w:t>
      </w:r>
      <w:r>
        <w:rPr>
          <w:rFonts w:hint="eastAsia" w:ascii="仿宋_GB2312" w:hAnsi="仿宋_GB2312" w:eastAsia="仿宋_GB2312" w:cs="仿宋_GB2312"/>
          <w:i w:val="0"/>
          <w:iCs w:val="0"/>
          <w:caps w:val="0"/>
          <w:color w:val="auto"/>
          <w:spacing w:val="0"/>
          <w:sz w:val="32"/>
          <w:szCs w:val="32"/>
          <w:highlight w:val="none"/>
          <w:shd w:val="clear" w:fill="FFFFFF"/>
        </w:rPr>
        <w:t>定期向社会公布考试通过率、培训质量评价等信息，接受社会监督，强化信用约束。对于日常检查、专项检查及年度检查中发现不符合相关条件的安全培训机构和考试点，根据管理办法，</w:t>
      </w:r>
      <w:r>
        <w:rPr>
          <w:rFonts w:hint="eastAsia" w:ascii="仿宋_GB2312" w:hAnsi="仿宋_GB2312" w:eastAsia="仿宋_GB2312" w:cs="仿宋_GB2312"/>
          <w:i w:val="0"/>
          <w:iCs w:val="0"/>
          <w:caps w:val="0"/>
          <w:color w:val="auto"/>
          <w:spacing w:val="0"/>
          <w:sz w:val="32"/>
          <w:szCs w:val="32"/>
          <w:highlight w:val="none"/>
          <w:shd w:val="clear" w:fill="FFFFFF"/>
          <w:lang w:eastAsia="zh-CN"/>
        </w:rPr>
        <w:t>将其移出</w:t>
      </w:r>
      <w:r>
        <w:rPr>
          <w:rFonts w:hint="eastAsia" w:ascii="仿宋_GB2312" w:hAnsi="仿宋_GB2312" w:eastAsia="仿宋_GB2312" w:cs="仿宋_GB2312"/>
          <w:i w:val="0"/>
          <w:iCs w:val="0"/>
          <w:caps w:val="0"/>
          <w:color w:val="auto"/>
          <w:spacing w:val="0"/>
          <w:sz w:val="32"/>
          <w:szCs w:val="32"/>
          <w:highlight w:val="none"/>
          <w:shd w:val="clear" w:fill="FFFFFF"/>
        </w:rPr>
        <w:t>安全培训机构和考试点</w:t>
      </w:r>
      <w:r>
        <w:rPr>
          <w:rFonts w:hint="eastAsia" w:ascii="仿宋_GB2312" w:hAnsi="仿宋_GB2312" w:eastAsia="仿宋_GB2312" w:cs="仿宋_GB2312"/>
          <w:i w:val="0"/>
          <w:iCs w:val="0"/>
          <w:caps w:val="0"/>
          <w:color w:val="auto"/>
          <w:spacing w:val="0"/>
          <w:sz w:val="32"/>
          <w:szCs w:val="32"/>
          <w:highlight w:val="none"/>
          <w:shd w:val="clear" w:fill="FFFFFF"/>
          <w:lang w:eastAsia="zh-CN"/>
        </w:rPr>
        <w:t>名单</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16"/>
        <w:keepNext w:val="0"/>
        <w:keepLines w:val="0"/>
        <w:pageBreakBefore w:val="0"/>
        <w:numPr>
          <w:ilvl w:val="0"/>
          <w:numId w:val="1"/>
        </w:numPr>
        <w:shd w:val="clear" w:color="auto" w:fill="FFFFFF"/>
        <w:kinsoku/>
        <w:overflowPunct/>
        <w:topLinePunct w:val="0"/>
        <w:autoSpaceDE/>
        <w:autoSpaceDN/>
        <w:bidi w:val="0"/>
        <w:spacing w:after="0" w:line="600" w:lineRule="exact"/>
        <w:ind w:left="-11" w:leftChars="0" w:firstLine="641" w:firstLineChars="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color w:val="auto"/>
          <w:kern w:val="2"/>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rPr>
        <w:t>社会</w:t>
      </w:r>
      <w:r>
        <w:rPr>
          <w:rFonts w:hint="eastAsia" w:ascii="仿宋_GB2312" w:hAnsi="仿宋_GB2312" w:eastAsia="仿宋_GB2312" w:cs="仿宋_GB2312"/>
          <w:b w:val="0"/>
          <w:bCs w:val="0"/>
          <w:color w:val="auto"/>
          <w:kern w:val="2"/>
          <w:sz w:val="32"/>
          <w:szCs w:val="32"/>
          <w:highlight w:val="none"/>
        </w:rPr>
        <w:t>监督】</w:t>
      </w:r>
      <w:r>
        <w:rPr>
          <w:rFonts w:hint="eastAsia" w:ascii="仿宋_GB2312" w:hAnsi="仿宋_GB2312" w:eastAsia="仿宋_GB2312" w:cs="仿宋_GB2312"/>
          <w:color w:val="auto"/>
          <w:sz w:val="32"/>
          <w:szCs w:val="32"/>
          <w:highlight w:val="none"/>
        </w:rPr>
        <w:t>任何单位或者个人对生产经营单位、安全培训机构违反有关法律、法规和本办法的行为，均有权向</w:t>
      </w:r>
      <w:r>
        <w:rPr>
          <w:rFonts w:hint="eastAsia" w:ascii="仿宋_GB2312" w:hAnsi="仿宋_GB2312" w:eastAsia="仿宋_GB2312" w:cs="仿宋_GB2312"/>
          <w:color w:val="auto"/>
          <w:sz w:val="32"/>
          <w:szCs w:val="32"/>
          <w:highlight w:val="none"/>
          <w:lang w:val="en-US" w:eastAsia="zh-CN"/>
        </w:rPr>
        <w:t>各级应急管理</w:t>
      </w:r>
      <w:r>
        <w:rPr>
          <w:rFonts w:hint="eastAsia" w:ascii="仿宋_GB2312" w:hAnsi="仿宋_GB2312" w:eastAsia="仿宋_GB2312" w:cs="仿宋_GB2312"/>
          <w:color w:val="auto"/>
          <w:sz w:val="32"/>
          <w:szCs w:val="32"/>
          <w:highlight w:val="none"/>
        </w:rPr>
        <w:t>部门报告或者举报。接到举报的部门或者机构应当为举报人保密，并按照有关规定对举报进</w:t>
      </w:r>
      <w:r>
        <w:rPr>
          <w:rFonts w:hint="eastAsia" w:ascii="仿宋_GB2312" w:hAnsi="仿宋_GB2312" w:eastAsia="仿宋_GB2312" w:cs="仿宋_GB2312"/>
          <w:color w:val="auto"/>
          <w:sz w:val="32"/>
          <w:szCs w:val="32"/>
          <w:highlight w:val="none"/>
          <w:lang w:val="en-US" w:eastAsia="zh-CN"/>
        </w:rPr>
        <w:t>行核查和处理。</w:t>
      </w:r>
    </w:p>
    <w:p>
      <w:pPr>
        <w:pStyle w:val="16"/>
        <w:keepNext w:val="0"/>
        <w:keepLines w:val="0"/>
        <w:pageBreakBefore w:val="0"/>
        <w:numPr>
          <w:ilvl w:val="0"/>
          <w:numId w:val="1"/>
        </w:numPr>
        <w:shd w:val="clear" w:color="auto" w:fill="FFFFFF"/>
        <w:kinsoku/>
        <w:overflowPunct/>
        <w:topLinePunct w:val="0"/>
        <w:autoSpaceDE/>
        <w:autoSpaceDN/>
        <w:bidi w:val="0"/>
        <w:spacing w:after="0" w:line="600" w:lineRule="exact"/>
        <w:ind w:left="-11" w:leftChars="0" w:firstLine="641" w:firstLineChars="0"/>
        <w:jc w:val="lef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lang w:val="en-US" w:eastAsia="zh-CN"/>
        </w:rPr>
        <w:t xml:space="preserve"> </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rPr>
        <w:t>行政执法</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fill="auto"/>
        </w:rPr>
        <w:t>区应急管理部门应当对检查中发现的违法行为实行行政处罚。被行政处罚的</w:t>
      </w:r>
      <w:r>
        <w:rPr>
          <w:rFonts w:hint="eastAsia" w:ascii="仿宋_GB2312" w:hAnsi="仿宋_GB2312" w:eastAsia="仿宋_GB2312" w:cs="仿宋_GB2312"/>
          <w:i w:val="0"/>
          <w:iCs w:val="0"/>
          <w:caps w:val="0"/>
          <w:color w:val="auto"/>
          <w:spacing w:val="0"/>
          <w:sz w:val="32"/>
          <w:szCs w:val="32"/>
          <w:highlight w:val="none"/>
          <w:shd w:val="clear"/>
          <w:lang w:val="en-US" w:eastAsia="zh-CN"/>
        </w:rPr>
        <w:t>安全</w:t>
      </w:r>
      <w:r>
        <w:rPr>
          <w:rFonts w:hint="eastAsia" w:ascii="仿宋_GB2312" w:hAnsi="仿宋_GB2312" w:eastAsia="仿宋_GB2312" w:cs="仿宋_GB2312"/>
          <w:i w:val="0"/>
          <w:iCs w:val="0"/>
          <w:caps w:val="0"/>
          <w:color w:val="auto"/>
          <w:spacing w:val="0"/>
          <w:sz w:val="32"/>
          <w:szCs w:val="32"/>
          <w:highlight w:val="none"/>
          <w:shd w:val="clear" w:fill="auto"/>
        </w:rPr>
        <w:t>培训机构</w:t>
      </w:r>
      <w:r>
        <w:rPr>
          <w:rFonts w:hint="eastAsia" w:ascii="仿宋_GB2312" w:hAnsi="仿宋_GB2312" w:eastAsia="仿宋_GB2312" w:cs="仿宋_GB2312"/>
          <w:i w:val="0"/>
          <w:iCs w:val="0"/>
          <w:caps w:val="0"/>
          <w:color w:val="auto"/>
          <w:spacing w:val="0"/>
          <w:sz w:val="32"/>
          <w:szCs w:val="32"/>
          <w:highlight w:val="none"/>
          <w:shd w:val="clear" w:fill="auto"/>
          <w:lang w:eastAsia="zh-CN"/>
        </w:rPr>
        <w:t>和考试点</w:t>
      </w:r>
      <w:r>
        <w:rPr>
          <w:rFonts w:hint="eastAsia" w:ascii="仿宋_GB2312" w:hAnsi="仿宋_GB2312" w:eastAsia="仿宋_GB2312" w:cs="仿宋_GB2312"/>
          <w:i w:val="0"/>
          <w:iCs w:val="0"/>
          <w:caps w:val="0"/>
          <w:color w:val="auto"/>
          <w:spacing w:val="0"/>
          <w:sz w:val="32"/>
          <w:szCs w:val="32"/>
          <w:highlight w:val="none"/>
          <w:shd w:val="clear" w:fill="auto"/>
        </w:rPr>
        <w:t>要制定整改方案，落实整改措施；整改完毕后向属地应急管理部门提出书面整改验收申请。应急管理部门接到申请后，及时组织有关人员进行核查验收，验收合格后，方可开展培训活动。</w:t>
      </w:r>
    </w:p>
    <w:p>
      <w:pPr>
        <w:pStyle w:val="16"/>
        <w:keepNext w:val="0"/>
        <w:keepLines w:val="0"/>
        <w:pageBreakBefore w:val="0"/>
        <w:numPr>
          <w:ilvl w:val="0"/>
          <w:numId w:val="1"/>
        </w:numPr>
        <w:shd w:val="clear" w:color="auto" w:fill="FFFFFF"/>
        <w:kinsoku/>
        <w:overflowPunct/>
        <w:topLinePunct w:val="0"/>
        <w:autoSpaceDE/>
        <w:autoSpaceDN/>
        <w:bidi w:val="0"/>
        <w:spacing w:after="0" w:line="600" w:lineRule="exact"/>
        <w:ind w:left="-11" w:leftChars="0" w:firstLine="641" w:firstLineChars="0"/>
        <w:jc w:val="lef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办法自公布之日起施行。</w:t>
      </w:r>
    </w:p>
    <w:p>
      <w:pPr>
        <w:pStyle w:val="16"/>
        <w:keepNext w:val="0"/>
        <w:keepLines w:val="0"/>
        <w:pageBreakBefore w:val="0"/>
        <w:numPr>
          <w:ilvl w:val="0"/>
          <w:numId w:val="1"/>
        </w:numPr>
        <w:shd w:val="clear" w:color="auto" w:fill="FFFFFF"/>
        <w:kinsoku/>
        <w:overflowPunct/>
        <w:topLinePunct w:val="0"/>
        <w:autoSpaceDE/>
        <w:autoSpaceDN/>
        <w:bidi w:val="0"/>
        <w:spacing w:after="0" w:line="600" w:lineRule="exact"/>
        <w:ind w:left="-11" w:leftChars="0" w:firstLine="641" w:firstLineChars="0"/>
        <w:jc w:val="left"/>
        <w:rPr>
          <w:rFonts w:hint="eastAsia" w:ascii="仿宋" w:hAnsi="仿宋" w:eastAsia="仿宋" w:cs="仿宋"/>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 xml:space="preserve"> 本办法</w:t>
      </w:r>
      <w:r>
        <w:rPr>
          <w:rFonts w:hint="eastAsia" w:ascii="仿宋_GB2312" w:hAnsi="仿宋_GB2312" w:eastAsia="仿宋_GB2312" w:cs="仿宋_GB2312"/>
          <w:color w:val="auto"/>
          <w:sz w:val="32"/>
          <w:szCs w:val="32"/>
          <w:highlight w:val="none"/>
        </w:rPr>
        <w:t>由市应急管理局负责解释</w:t>
      </w:r>
      <w:r>
        <w:rPr>
          <w:rFonts w:hint="eastAsia" w:ascii="仿宋_GB2312" w:hAnsi="仿宋_GB2312" w:eastAsia="仿宋_GB2312" w:cs="仿宋_GB2312"/>
          <w:color w:val="auto"/>
          <w:sz w:val="32"/>
          <w:szCs w:val="32"/>
          <w:highlight w:val="none"/>
          <w:lang w:eastAsia="zh-CN"/>
        </w:rPr>
        <w:t>。</w:t>
      </w:r>
    </w:p>
    <w:p>
      <w:pPr>
        <w:widowControl/>
        <w:adjustRightInd w:val="0"/>
        <w:snapToGrid w:val="0"/>
        <w:spacing w:line="600" w:lineRule="exact"/>
        <w:ind w:left="1918" w:leftChars="304" w:hanging="1280" w:hangingChars="4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广州市安全培训机构信息登记表</w:t>
      </w:r>
    </w:p>
    <w:p>
      <w:pPr>
        <w:widowControl/>
        <w:adjustRightInd w:val="0"/>
        <w:snapToGrid w:val="0"/>
        <w:spacing w:line="600" w:lineRule="exact"/>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rPr>
        <w:t>：广州市安全培训机构评分表</w:t>
      </w:r>
    </w:p>
    <w:p>
      <w:pPr>
        <w:widowControl/>
        <w:adjustRightInd w:val="0"/>
        <w:snapToGrid w:val="0"/>
        <w:spacing w:line="600" w:lineRule="exact"/>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3</w:t>
      </w:r>
      <w:r>
        <w:rPr>
          <w:rFonts w:hint="eastAsia" w:ascii="仿宋_GB2312" w:hAnsi="仿宋_GB2312" w:eastAsia="仿宋_GB2312" w:cs="仿宋_GB2312"/>
          <w:b w:val="0"/>
          <w:bCs w:val="0"/>
          <w:color w:val="auto"/>
          <w:kern w:val="0"/>
          <w:sz w:val="32"/>
          <w:szCs w:val="32"/>
          <w:highlight w:val="none"/>
        </w:rPr>
        <w:t>：广州市安全生产资格考试点申请表</w:t>
      </w:r>
    </w:p>
    <w:p>
      <w:pPr>
        <w:widowControl/>
        <w:adjustRightInd w:val="0"/>
        <w:snapToGrid w:val="0"/>
        <w:spacing w:line="600" w:lineRule="exact"/>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4</w:t>
      </w:r>
      <w:r>
        <w:rPr>
          <w:rFonts w:hint="eastAsia" w:ascii="仿宋_GB2312" w:hAnsi="仿宋_GB2312" w:eastAsia="仿宋_GB2312" w:cs="仿宋_GB2312"/>
          <w:b w:val="0"/>
          <w:bCs w:val="0"/>
          <w:color w:val="auto"/>
          <w:kern w:val="0"/>
          <w:sz w:val="32"/>
          <w:szCs w:val="32"/>
          <w:highlight w:val="none"/>
        </w:rPr>
        <w:t>：广州市安全生产知识考试点检查表</w:t>
      </w:r>
    </w:p>
    <w:p>
      <w:pPr>
        <w:widowControl/>
        <w:adjustRightInd w:val="0"/>
        <w:snapToGrid w:val="0"/>
        <w:spacing w:line="600" w:lineRule="exact"/>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rPr>
        <w:t>：广州市特种作业实操考试点检查表</w:t>
      </w:r>
    </w:p>
    <w:p>
      <w:pPr>
        <w:widowControl/>
        <w:adjustRightInd w:val="0"/>
        <w:snapToGrid w:val="0"/>
        <w:spacing w:line="600" w:lineRule="exact"/>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6</w:t>
      </w:r>
      <w:r>
        <w:rPr>
          <w:rFonts w:hint="eastAsia" w:ascii="仿宋_GB2312" w:hAnsi="仿宋_GB2312" w:eastAsia="仿宋_GB2312" w:cs="仿宋_GB2312"/>
          <w:b w:val="0"/>
          <w:bCs w:val="0"/>
          <w:color w:val="auto"/>
          <w:kern w:val="0"/>
          <w:sz w:val="32"/>
          <w:szCs w:val="32"/>
          <w:highlight w:val="none"/>
        </w:rPr>
        <w:t>：广州市特种作业实操考评系统硬件配置要求清单</w:t>
      </w:r>
    </w:p>
    <w:p>
      <w:pPr>
        <w:widowControl/>
        <w:adjustRightInd w:val="0"/>
        <w:snapToGrid w:val="0"/>
        <w:spacing w:line="600" w:lineRule="exact"/>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7</w:t>
      </w:r>
      <w:r>
        <w:rPr>
          <w:rFonts w:hint="eastAsia" w:ascii="仿宋_GB2312" w:hAnsi="仿宋_GB2312" w:eastAsia="仿宋_GB2312" w:cs="仿宋_GB2312"/>
          <w:b w:val="0"/>
          <w:bCs w:val="0"/>
          <w:color w:val="auto"/>
          <w:kern w:val="0"/>
          <w:sz w:val="32"/>
          <w:szCs w:val="32"/>
          <w:highlight w:val="none"/>
        </w:rPr>
        <w:t>：广州市安全培训机构考试点档案管理目录</w:t>
      </w: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val="0"/>
        <w:keepLines w:val="0"/>
        <w:pageBreakBefore w:val="0"/>
        <w:kinsoku/>
        <w:overflowPunct/>
        <w:topLinePunct w:val="0"/>
        <w:autoSpaceDE/>
        <w:autoSpaceDN/>
        <w:bidi w:val="0"/>
        <w:spacing w:line="600" w:lineRule="exact"/>
        <w:jc w:val="both"/>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rPr>
        <w:t>附件1</w:t>
      </w:r>
    </w:p>
    <w:p>
      <w:pPr>
        <w:keepNext w:val="0"/>
        <w:keepLines w:val="0"/>
        <w:pageBreakBefore w:val="0"/>
        <w:kinsoku/>
        <w:overflowPunct/>
        <w:topLinePunct w:val="0"/>
        <w:autoSpaceDE/>
        <w:autoSpaceDN/>
        <w:bidi w:val="0"/>
        <w:spacing w:line="60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广州市安全培训机构信息登记表</w:t>
      </w:r>
    </w:p>
    <w:p>
      <w:pPr>
        <w:keepNext w:val="0"/>
        <w:keepLines w:val="0"/>
        <w:pageBreakBefore w:val="0"/>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p>
    <w:tbl>
      <w:tblPr>
        <w:tblStyle w:val="7"/>
        <w:tblpPr w:leftFromText="180" w:rightFromText="180" w:vertAnchor="text" w:horzAnchor="page" w:tblpX="1624" w:tblpY="6"/>
        <w:tblOverlap w:val="never"/>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91"/>
        <w:gridCol w:w="2991"/>
        <w:gridCol w:w="15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2991" w:type="dxa"/>
          </w:tcPr>
          <w:p>
            <w:pPr>
              <w:keepNext w:val="0"/>
              <w:keepLines w:val="0"/>
              <w:pageBreakBefore w:val="0"/>
              <w:kinsoku/>
              <w:overflowPunct/>
              <w:topLinePunct w:val="0"/>
              <w:autoSpaceDE/>
              <w:autoSpaceDN/>
              <w:bidi w:val="0"/>
              <w:spacing w:line="400" w:lineRule="exact"/>
              <w:rPr>
                <w:rFonts w:hint="eastAsia" w:ascii="仿宋" w:hAnsi="仿宋" w:eastAsia="仿宋" w:cs="仿宋"/>
                <w:color w:val="auto"/>
                <w:sz w:val="28"/>
                <w:szCs w:val="28"/>
                <w:highlight w:val="none"/>
              </w:rPr>
            </w:pPr>
          </w:p>
        </w:tc>
        <w:tc>
          <w:tcPr>
            <w:tcW w:w="1580"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p>
        </w:tc>
        <w:tc>
          <w:tcPr>
            <w:tcW w:w="2268" w:type="dxa"/>
          </w:tcPr>
          <w:p>
            <w:pPr>
              <w:keepNext w:val="0"/>
              <w:keepLines w:val="0"/>
              <w:pageBreakBefore w:val="0"/>
              <w:kinsoku/>
              <w:overflowPunct/>
              <w:topLinePunct w:val="0"/>
              <w:autoSpaceDE/>
              <w:autoSpaceDN/>
              <w:bidi w:val="0"/>
              <w:spacing w:line="40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tc>
        <w:tc>
          <w:tcPr>
            <w:tcW w:w="2991" w:type="dxa"/>
          </w:tcPr>
          <w:p>
            <w:pPr>
              <w:keepNext w:val="0"/>
              <w:keepLines w:val="0"/>
              <w:pageBreakBefore w:val="0"/>
              <w:kinsoku/>
              <w:overflowPunct/>
              <w:topLinePunct w:val="0"/>
              <w:autoSpaceDE/>
              <w:autoSpaceDN/>
              <w:bidi w:val="0"/>
              <w:spacing w:line="400" w:lineRule="exact"/>
              <w:rPr>
                <w:rFonts w:hint="eastAsia" w:ascii="仿宋" w:hAnsi="仿宋" w:eastAsia="仿宋" w:cs="仿宋"/>
                <w:color w:val="auto"/>
                <w:sz w:val="28"/>
                <w:szCs w:val="28"/>
                <w:highlight w:val="none"/>
              </w:rPr>
            </w:pPr>
          </w:p>
        </w:tc>
        <w:tc>
          <w:tcPr>
            <w:tcW w:w="1580"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所属区</w:t>
            </w:r>
          </w:p>
        </w:tc>
        <w:tc>
          <w:tcPr>
            <w:tcW w:w="2268" w:type="dxa"/>
          </w:tcPr>
          <w:p>
            <w:pPr>
              <w:keepNext w:val="0"/>
              <w:keepLines w:val="0"/>
              <w:pageBreakBefore w:val="0"/>
              <w:kinsoku/>
              <w:overflowPunct/>
              <w:topLinePunct w:val="0"/>
              <w:autoSpaceDE/>
              <w:autoSpaceDN/>
              <w:bidi w:val="0"/>
              <w:spacing w:line="40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培训地址</w:t>
            </w:r>
          </w:p>
        </w:tc>
        <w:tc>
          <w:tcPr>
            <w:tcW w:w="2991" w:type="dxa"/>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p>
        </w:tc>
        <w:tc>
          <w:tcPr>
            <w:tcW w:w="1580"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所属区</w:t>
            </w:r>
          </w:p>
        </w:tc>
        <w:tc>
          <w:tcPr>
            <w:tcW w:w="2268"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tc>
        <w:tc>
          <w:tcPr>
            <w:tcW w:w="2991" w:type="dxa"/>
          </w:tcPr>
          <w:p>
            <w:pPr>
              <w:keepNext w:val="0"/>
              <w:keepLines w:val="0"/>
              <w:pageBreakBefore w:val="0"/>
              <w:kinsoku/>
              <w:overflowPunct/>
              <w:topLinePunct w:val="0"/>
              <w:autoSpaceDE/>
              <w:autoSpaceDN/>
              <w:bidi w:val="0"/>
              <w:spacing w:line="400" w:lineRule="exact"/>
              <w:rPr>
                <w:rFonts w:hint="eastAsia" w:ascii="仿宋" w:hAnsi="仿宋" w:eastAsia="仿宋" w:cs="仿宋"/>
                <w:color w:val="auto"/>
                <w:sz w:val="28"/>
                <w:szCs w:val="28"/>
                <w:highlight w:val="none"/>
              </w:rPr>
            </w:pPr>
          </w:p>
        </w:tc>
        <w:tc>
          <w:tcPr>
            <w:tcW w:w="1580"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联系电话、邮箱</w:t>
            </w:r>
          </w:p>
        </w:tc>
        <w:tc>
          <w:tcPr>
            <w:tcW w:w="2268"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法人证书</w:t>
            </w:r>
          </w:p>
        </w:tc>
        <w:tc>
          <w:tcPr>
            <w:tcW w:w="2991" w:type="dxa"/>
          </w:tcPr>
          <w:p>
            <w:pPr>
              <w:keepNext w:val="0"/>
              <w:keepLines w:val="0"/>
              <w:pageBreakBefore w:val="0"/>
              <w:kinsoku/>
              <w:overflowPunct/>
              <w:topLinePunct w:val="0"/>
              <w:autoSpaceDE/>
              <w:autoSpaceDN/>
              <w:bidi w:val="0"/>
              <w:spacing w:line="400" w:lineRule="exact"/>
              <w:rPr>
                <w:rFonts w:hint="eastAsia" w:ascii="仿宋" w:hAnsi="仿宋" w:eastAsia="仿宋" w:cs="仿宋"/>
                <w:color w:val="auto"/>
                <w:sz w:val="28"/>
                <w:szCs w:val="28"/>
                <w:highlight w:val="none"/>
              </w:rPr>
            </w:pPr>
          </w:p>
        </w:tc>
        <w:tc>
          <w:tcPr>
            <w:tcW w:w="1580"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注册资金</w:t>
            </w:r>
          </w:p>
        </w:tc>
        <w:tc>
          <w:tcPr>
            <w:tcW w:w="2268"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97" w:type="dxa"/>
            <w:vMerge w:val="restart"/>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基本情况</w:t>
            </w:r>
          </w:p>
        </w:tc>
        <w:tc>
          <w:tcPr>
            <w:tcW w:w="1591"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职工情况</w:t>
            </w:r>
          </w:p>
        </w:tc>
        <w:tc>
          <w:tcPr>
            <w:tcW w:w="6839" w:type="dxa"/>
            <w:gridSpan w:val="3"/>
            <w:vAlign w:val="center"/>
          </w:tcPr>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人，其中：专职培训管理人员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人、专职教师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人、兼职教师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人、设备维修人员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人、 工作人员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97" w:type="dxa"/>
            <w:vMerge w:val="continue"/>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p>
        </w:tc>
        <w:tc>
          <w:tcPr>
            <w:tcW w:w="1591" w:type="dxa"/>
            <w:vMerge w:val="restart"/>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场地情况</w:t>
            </w:r>
          </w:p>
        </w:tc>
        <w:tc>
          <w:tcPr>
            <w:tcW w:w="6839" w:type="dxa"/>
            <w:gridSpan w:val="3"/>
            <w:vAlign w:val="center"/>
          </w:tcPr>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平方米，其中：办公：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平方米、教室：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平方米、实操室：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平方米、档案室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w:t>
            </w:r>
          </w:p>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97" w:type="dxa"/>
            <w:vMerge w:val="continue"/>
            <w:vAlign w:val="center"/>
          </w:tcPr>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p>
        </w:tc>
        <w:tc>
          <w:tcPr>
            <w:tcW w:w="1591" w:type="dxa"/>
            <w:vMerge w:val="continue"/>
            <w:vAlign w:val="center"/>
          </w:tcPr>
          <w:p>
            <w:pPr>
              <w:keepNext w:val="0"/>
              <w:keepLines w:val="0"/>
              <w:pageBreakBefore w:val="0"/>
              <w:kinsoku/>
              <w:overflowPunct/>
              <w:topLinePunct w:val="0"/>
              <w:autoSpaceDE/>
              <w:autoSpaceDN/>
              <w:bidi w:val="0"/>
              <w:spacing w:line="400" w:lineRule="exact"/>
              <w:rPr>
                <w:rFonts w:hint="eastAsia" w:ascii="仿宋" w:hAnsi="仿宋" w:eastAsia="仿宋" w:cs="仿宋"/>
                <w:color w:val="auto"/>
                <w:sz w:val="28"/>
                <w:szCs w:val="28"/>
                <w:highlight w:val="none"/>
              </w:rPr>
            </w:pPr>
          </w:p>
        </w:tc>
        <w:tc>
          <w:tcPr>
            <w:tcW w:w="6839" w:type="dxa"/>
            <w:gridSpan w:val="3"/>
            <w:vAlign w:val="center"/>
          </w:tcPr>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产权性质：□自有； □租赁，租赁期限：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797" w:type="dxa"/>
            <w:vMerge w:val="continue"/>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p>
        </w:tc>
        <w:tc>
          <w:tcPr>
            <w:tcW w:w="1591" w:type="dxa"/>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单位概况</w:t>
            </w:r>
          </w:p>
        </w:tc>
        <w:tc>
          <w:tcPr>
            <w:tcW w:w="6839" w:type="dxa"/>
            <w:gridSpan w:val="3"/>
            <w:vAlign w:val="center"/>
          </w:tcPr>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培训</w:t>
            </w:r>
          </w:p>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6839" w:type="dxa"/>
            <w:gridSpan w:val="3"/>
            <w:vAlign w:val="center"/>
          </w:tcPr>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培训形式</w:t>
            </w:r>
          </w:p>
        </w:tc>
        <w:tc>
          <w:tcPr>
            <w:tcW w:w="6839" w:type="dxa"/>
            <w:gridSpan w:val="3"/>
            <w:vAlign w:val="center"/>
          </w:tcPr>
          <w:p>
            <w:pPr>
              <w:keepNext w:val="0"/>
              <w:keepLines w:val="0"/>
              <w:pageBreakBefore w:val="0"/>
              <w:kinsoku/>
              <w:overflowPunct/>
              <w:topLinePunct w:val="0"/>
              <w:autoSpaceDE/>
              <w:autoSpaceDN/>
              <w:bidi w:val="0"/>
              <w:spacing w:line="400" w:lineRule="exact"/>
              <w:ind w:left="0" w:hanging="560" w:hanging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□线下安全培训        □ 网络安全培训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2388" w:type="dxa"/>
            <w:gridSpan w:val="2"/>
            <w:vAlign w:val="center"/>
          </w:tcPr>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培训项目</w:t>
            </w:r>
          </w:p>
          <w:p>
            <w:pPr>
              <w:keepNext w:val="0"/>
              <w:keepLines w:val="0"/>
              <w:pageBreakBefore w:val="0"/>
              <w:kinsoku/>
              <w:overflowPunct/>
              <w:topLinePunct w:val="0"/>
              <w:autoSpaceDE/>
              <w:autoSpaceDN/>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收费标准</w:t>
            </w:r>
          </w:p>
        </w:tc>
        <w:tc>
          <w:tcPr>
            <w:tcW w:w="6839" w:type="dxa"/>
            <w:gridSpan w:val="3"/>
            <w:vAlign w:val="center"/>
          </w:tcPr>
          <w:p>
            <w:pPr>
              <w:keepNext w:val="0"/>
              <w:keepLines w:val="0"/>
              <w:pageBreakBefore w:val="0"/>
              <w:kinsoku/>
              <w:overflowPunct/>
              <w:topLinePunct w:val="0"/>
              <w:autoSpaceDE/>
              <w:autoSpaceDN/>
              <w:bidi w:val="0"/>
              <w:spacing w:line="400" w:lineRule="exact"/>
              <w:ind w:left="0" w:hanging="560" w:hangingChars="200"/>
              <w:rPr>
                <w:rFonts w:hint="eastAsia" w:ascii="仿宋" w:hAnsi="仿宋" w:eastAsia="仿宋" w:cs="仿宋"/>
                <w:color w:val="auto"/>
                <w:sz w:val="28"/>
                <w:szCs w:val="28"/>
                <w:highlight w:val="none"/>
              </w:rPr>
            </w:pPr>
          </w:p>
        </w:tc>
      </w:tr>
    </w:tbl>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rPr>
        <w:sectPr>
          <w:footerReference r:id="rId3" w:type="default"/>
          <w:pgSz w:w="11906" w:h="16838"/>
          <w:pgMar w:top="1587" w:right="1474" w:bottom="1587" w:left="1531" w:header="851" w:footer="992" w:gutter="0"/>
          <w:cols w:space="425" w:num="1"/>
          <w:docGrid w:type="lines" w:linePitch="312" w:charSpace="0"/>
        </w:sectPr>
      </w:pPr>
    </w:p>
    <w:p>
      <w:pPr>
        <w:keepNext w:val="0"/>
        <w:keepLines w:val="0"/>
        <w:pageBreakBefore w:val="0"/>
        <w:kinsoku/>
        <w:overflowPunct/>
        <w:topLinePunct w:val="0"/>
        <w:autoSpaceDE/>
        <w:autoSpaceDN/>
        <w:bidi w:val="0"/>
        <w:spacing w:line="46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keepNext w:val="0"/>
        <w:keepLines w:val="0"/>
        <w:pageBreakBefore w:val="0"/>
        <w:kinsoku/>
        <w:overflowPunct/>
        <w:topLinePunct w:val="0"/>
        <w:autoSpaceDE/>
        <w:autoSpaceDN/>
        <w:bidi w:val="0"/>
        <w:spacing w:line="460" w:lineRule="exact"/>
        <w:ind w:firstLine="0"/>
        <w:jc w:val="center"/>
        <w:rPr>
          <w:rFonts w:hint="eastAsia" w:ascii="仿宋" w:hAnsi="仿宋" w:eastAsia="仿宋" w:cs="仿宋"/>
          <w:color w:val="auto"/>
          <w:sz w:val="32"/>
          <w:szCs w:val="32"/>
          <w:highlight w:val="none"/>
        </w:rPr>
      </w:pPr>
      <w:r>
        <w:rPr>
          <w:rFonts w:hint="eastAsia" w:ascii="方正小标宋_GBK" w:hAnsi="方正小标宋_GBK" w:eastAsia="方正小标宋_GBK" w:cs="方正小标宋_GBK"/>
          <w:color w:val="auto"/>
          <w:sz w:val="32"/>
          <w:szCs w:val="32"/>
          <w:highlight w:val="none"/>
        </w:rPr>
        <w:t>广州市安全培训机构评分表</w:t>
      </w:r>
    </w:p>
    <w:tbl>
      <w:tblPr>
        <w:tblStyle w:val="7"/>
        <w:tblpPr w:leftFromText="180" w:rightFromText="180" w:vertAnchor="text" w:horzAnchor="page" w:tblpXSpec="center" w:tblpY="669"/>
        <w:tblOverlap w:val="never"/>
        <w:tblW w:w="5530" w:type="pct"/>
        <w:jc w:val="center"/>
        <w:tblLayout w:type="autofit"/>
        <w:tblCellMar>
          <w:top w:w="0" w:type="dxa"/>
          <w:left w:w="10" w:type="dxa"/>
          <w:bottom w:w="0" w:type="dxa"/>
          <w:right w:w="10" w:type="dxa"/>
        </w:tblCellMar>
      </w:tblPr>
      <w:tblGrid>
        <w:gridCol w:w="1482"/>
        <w:gridCol w:w="848"/>
        <w:gridCol w:w="848"/>
        <w:gridCol w:w="1869"/>
        <w:gridCol w:w="695"/>
        <w:gridCol w:w="5214"/>
        <w:gridCol w:w="1250"/>
        <w:gridCol w:w="3037"/>
      </w:tblGrid>
      <w:tr>
        <w:tblPrEx>
          <w:tblCellMar>
            <w:top w:w="0" w:type="dxa"/>
            <w:left w:w="10" w:type="dxa"/>
            <w:bottom w:w="0" w:type="dxa"/>
            <w:right w:w="10" w:type="dxa"/>
          </w:tblCellMar>
        </w:tblPrEx>
        <w:trPr>
          <w:trHeight w:val="1049"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机构</w:t>
            </w:r>
          </w:p>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类型</w:t>
            </w: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序号</w:t>
            </w: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一级项目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二级</w:t>
            </w:r>
          </w:p>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项目</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配分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检查主要内容</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得分</w:t>
            </w: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备注</w:t>
            </w:r>
          </w:p>
        </w:tc>
      </w:tr>
      <w:tr>
        <w:tblPrEx>
          <w:tblCellMar>
            <w:top w:w="0" w:type="dxa"/>
            <w:left w:w="10" w:type="dxa"/>
            <w:bottom w:w="0" w:type="dxa"/>
            <w:right w:w="10" w:type="dxa"/>
          </w:tblCellMar>
        </w:tblPrEx>
        <w:trPr>
          <w:trHeight w:val="1502" w:hRule="atLeast"/>
          <w:jc w:val="center"/>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安全生产培训机构基本条件</w:t>
            </w: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组织管理（</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安全生产培训机构概况</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机构概况包括机构名称、举办者、地址、法人属性、开展培训需求调研、培训策划设计能力情况、地理位置、交通等、单位盖章的承诺书；（缺一项扣1分）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提供单位盖章的书面材料、</w:t>
            </w:r>
            <w:r>
              <w:rPr>
                <w:rFonts w:hint="eastAsia" w:ascii="仿宋_GB2312" w:hAnsi="仿宋_GB2312" w:eastAsia="仿宋_GB2312" w:cs="仿宋_GB2312"/>
                <w:b/>
                <w:bCs/>
                <w:color w:val="auto"/>
                <w:sz w:val="28"/>
                <w:szCs w:val="28"/>
                <w:highlight w:val="none"/>
              </w:rPr>
              <w:t>公告特种作业培训项目</w:t>
            </w:r>
          </w:p>
        </w:tc>
      </w:tr>
      <w:tr>
        <w:tblPrEx>
          <w:tblCellMar>
            <w:top w:w="0" w:type="dxa"/>
            <w:left w:w="10" w:type="dxa"/>
            <w:bottom w:w="0" w:type="dxa"/>
            <w:right w:w="10" w:type="dxa"/>
          </w:tblCellMar>
        </w:tblPrEx>
        <w:trPr>
          <w:trHeight w:val="2817"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安全生产培训机构章程</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办学宗旨、发展定位、层次类型、规模、形式、注册资金以及资产的来源、性质、内设机构的组成及职责、教职工、学员的权利义务和权益保障机制、章程修改的程序；（缺一项扣1分）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提供单位盖章的书面材料</w:t>
            </w:r>
          </w:p>
        </w:tc>
      </w:tr>
      <w:tr>
        <w:tblPrEx>
          <w:tblCellMar>
            <w:top w:w="0" w:type="dxa"/>
            <w:left w:w="10" w:type="dxa"/>
            <w:bottom w:w="0" w:type="dxa"/>
            <w:right w:w="10" w:type="dxa"/>
          </w:tblCellMar>
        </w:tblPrEx>
        <w:trPr>
          <w:trHeight w:val="90"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具有独立法人资格或能够独立承担法律责任</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（1）法人证书</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（2）主要负责人参加主要负责人安全培训情况</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登记证书或营业执照或法人证书或组织机构代码证、税务登记证等。提供原件查看，提交复印件并加盖公章。</w:t>
            </w:r>
          </w:p>
        </w:tc>
      </w:tr>
      <w:tr>
        <w:tblPrEx>
          <w:tblCellMar>
            <w:top w:w="0" w:type="dxa"/>
            <w:left w:w="10" w:type="dxa"/>
            <w:bottom w:w="0" w:type="dxa"/>
            <w:right w:w="10" w:type="dxa"/>
          </w:tblCellMar>
        </w:tblPrEx>
        <w:trPr>
          <w:trHeight w:val="1908"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有健全的培训管理组织，能够开展培训需求调研、培训策划设计；</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（1）设立安全培训管理部门，订立相应岗位职责；</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专兼职管理人员名册（列明姓名、年龄、学历、职责分工、专兼职等）及相关资料复印件；（3）安全培训管理人员包括负责人1名，3名以上专职安全培训管理人员，至少有1名维护人员负责培训硬件设施、网络等正常运行；</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★（4）3名或以上专职安全培训管理人员（提供社保证明）；</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（5）工作人员内部安全培训记录；</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（6）人员变更文件；</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（7）安全培训负责人对特种作业培训考核及证书管理等政策了解情况。</w:t>
            </w:r>
            <w:r>
              <w:rPr>
                <w:rFonts w:hint="eastAsia" w:ascii="仿宋_GB2312" w:hAnsi="仿宋_GB2312" w:eastAsia="仿宋_GB2312" w:cs="仿宋_GB2312"/>
                <w:color w:val="auto"/>
                <w:sz w:val="28"/>
                <w:szCs w:val="28"/>
                <w:highlight w:val="none"/>
              </w:rPr>
              <w:t>（缺一项扣1分）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（1）提交证书复印件并加盖公章；（2）专职管理人员须提供社保证明（三个月社保缴交记录）、身份证、学历证书、职称证书、劳动合同；</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（3）维护人员需持相应项目的特种作业操作证；</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（4）安全培训管理负责人应符合本科以上学历、中级以上专业技术职称或技师以上职业技能等级；</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（5）专职安全培训管理人员中至少1人大专以上学历、中级以上专业技术职称或技师以上职业技能等级；</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（6）兼职安全培训管理人员需有聘用证明。</w:t>
            </w:r>
          </w:p>
        </w:tc>
      </w:tr>
      <w:tr>
        <w:tblPrEx>
          <w:tblCellMar>
            <w:top w:w="0" w:type="dxa"/>
            <w:left w:w="10" w:type="dxa"/>
            <w:bottom w:w="0" w:type="dxa"/>
            <w:right w:w="10" w:type="dxa"/>
          </w:tblCellMar>
        </w:tblPrEx>
        <w:trPr>
          <w:trHeight w:val="1585"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师资配备（</w:t>
            </w:r>
            <w:r>
              <w:rPr>
                <w:rFonts w:hint="eastAsia" w:ascii="仿宋_GB2312" w:hAnsi="仿宋_GB2312" w:eastAsia="仿宋_GB2312" w:cs="仿宋_GB2312"/>
                <w:color w:val="auto"/>
                <w:sz w:val="28"/>
                <w:szCs w:val="28"/>
                <w:highlight w:val="none"/>
                <w:lang w:val="en-US" w:eastAsia="zh-CN"/>
              </w:rPr>
              <w:t>20分</w:t>
            </w:r>
            <w:r>
              <w:rPr>
                <w:rFonts w:hint="eastAsia" w:ascii="仿宋_GB2312" w:hAnsi="仿宋_GB2312" w:eastAsia="仿宋_GB2312" w:cs="仿宋_GB2312"/>
                <w:color w:val="auto"/>
                <w:sz w:val="28"/>
                <w:szCs w:val="28"/>
                <w:highlight w:val="none"/>
              </w:rPr>
              <w:t>）</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具有熟悉安全培训教学规律、掌握安全生产相关知识和技能的师资力量</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（1）安全生产培训机构教员花名册（列明姓名、年龄、学历、毕业院校、所学专业、职称、任教作业、任教年限、专兼职等情况）及相关资料复印件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（缺一项扣1分）</w:t>
            </w:r>
          </w:p>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安全</w:t>
            </w:r>
            <w:r>
              <w:rPr>
                <w:rFonts w:hint="eastAsia" w:ascii="仿宋_GB2312" w:hAnsi="仿宋_GB2312" w:eastAsia="仿宋_GB2312" w:cs="仿宋_GB2312"/>
                <w:color w:val="auto"/>
                <w:sz w:val="28"/>
                <w:szCs w:val="28"/>
                <w:highlight w:val="none"/>
              </w:rPr>
              <w:t>培训教员情况：</w:t>
            </w:r>
            <w:r>
              <w:rPr>
                <w:rFonts w:hint="eastAsia" w:ascii="仿宋_GB2312" w:hAnsi="仿宋_GB2312" w:eastAsia="仿宋_GB2312" w:cs="仿宋_GB2312"/>
                <w:color w:val="auto"/>
                <w:sz w:val="28"/>
                <w:szCs w:val="28"/>
                <w:highlight w:val="none"/>
                <w:lang w:eastAsia="zh-CN"/>
              </w:rPr>
              <w:t>理论教员必须</w:t>
            </w:r>
            <w:r>
              <w:rPr>
                <w:rFonts w:hint="eastAsia" w:ascii="仿宋_GB2312" w:hAnsi="仿宋_GB2312" w:eastAsia="仿宋_GB2312" w:cs="仿宋_GB2312"/>
                <w:color w:val="auto"/>
                <w:sz w:val="28"/>
                <w:szCs w:val="28"/>
                <w:highlight w:val="none"/>
              </w:rPr>
              <w:t>配备</w:t>
            </w:r>
            <w:r>
              <w:rPr>
                <w:rFonts w:hint="eastAsia" w:ascii="仿宋_GB2312" w:hAnsi="仿宋_GB2312" w:eastAsia="仿宋_GB2312" w:cs="仿宋_GB2312"/>
                <w:color w:val="auto"/>
                <w:sz w:val="28"/>
                <w:szCs w:val="28"/>
                <w:highlight w:val="none"/>
                <w:lang w:eastAsia="zh-CN"/>
              </w:rPr>
              <w:t>至少</w:t>
            </w:r>
            <w:r>
              <w:rPr>
                <w:rFonts w:hint="eastAsia" w:ascii="仿宋_GB2312" w:hAnsi="仿宋_GB2312" w:eastAsia="仿宋_GB2312" w:cs="仿宋_GB2312"/>
                <w:color w:val="auto"/>
                <w:sz w:val="28"/>
                <w:szCs w:val="28"/>
                <w:highlight w:val="none"/>
              </w:rPr>
              <w:t>2名</w:t>
            </w:r>
            <w:r>
              <w:rPr>
                <w:rFonts w:hint="eastAsia" w:ascii="仿宋_GB2312" w:hAnsi="仿宋_GB2312" w:eastAsia="仿宋_GB2312" w:cs="仿宋_GB2312"/>
                <w:color w:val="auto"/>
                <w:sz w:val="28"/>
                <w:szCs w:val="28"/>
                <w:highlight w:val="none"/>
                <w:lang w:eastAsia="zh-CN"/>
              </w:rPr>
              <w:t>，其中</w:t>
            </w:r>
            <w:r>
              <w:rPr>
                <w:rFonts w:hint="eastAsia" w:ascii="仿宋_GB2312" w:hAnsi="仿宋_GB2312" w:eastAsia="仿宋_GB2312" w:cs="仿宋_GB2312"/>
                <w:color w:val="auto"/>
                <w:sz w:val="28"/>
                <w:szCs w:val="28"/>
                <w:highlight w:val="none"/>
              </w:rPr>
              <w:t>专职</w:t>
            </w:r>
            <w:r>
              <w:rPr>
                <w:rFonts w:hint="eastAsia" w:ascii="仿宋_GB2312" w:hAnsi="仿宋_GB2312" w:eastAsia="仿宋_GB2312" w:cs="仿宋_GB2312"/>
                <w:color w:val="auto"/>
                <w:sz w:val="28"/>
                <w:szCs w:val="28"/>
                <w:highlight w:val="none"/>
                <w:lang w:eastAsia="zh-CN"/>
              </w:rPr>
              <w:t>教员</w:t>
            </w:r>
            <w:r>
              <w:rPr>
                <w:rFonts w:hint="eastAsia" w:ascii="仿宋_GB2312" w:hAnsi="仿宋_GB2312" w:eastAsia="仿宋_GB2312" w:cs="仿宋_GB2312"/>
                <w:color w:val="auto"/>
                <w:sz w:val="28"/>
                <w:szCs w:val="28"/>
                <w:highlight w:val="none"/>
              </w:rPr>
              <w:t>至少</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名</w:t>
            </w:r>
            <w:r>
              <w:rPr>
                <w:rFonts w:hint="eastAsia" w:ascii="仿宋_GB2312" w:hAnsi="仿宋_GB2312" w:eastAsia="仿宋_GB2312" w:cs="仿宋_GB2312"/>
                <w:color w:val="auto"/>
                <w:sz w:val="28"/>
                <w:szCs w:val="28"/>
                <w:highlight w:val="none"/>
                <w:lang w:eastAsia="zh-CN"/>
              </w:rPr>
              <w:t>；</w:t>
            </w:r>
          </w:p>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（3）提供安全教员培训证或相关专业中级职称或技师职业技能等级证；（不满足扣5分/名）</w:t>
            </w:r>
          </w:p>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（4）提供满足相对应作业领域 5 年以上工作实践经验证明材料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（不满足扣5分/名）</w:t>
            </w:r>
          </w:p>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（1）提交证书复印件并加盖公章；</w:t>
            </w:r>
          </w:p>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（2）专职教员须提供社保证明（三个月社保缴交记录）、身份证、相应作业教学领域学历证书、职称证书、劳动合同；</w:t>
            </w:r>
          </w:p>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（3）兼职教员须提供身份证、相应作业教学领域学历证书、职称证书、聘用证明；</w:t>
            </w:r>
          </w:p>
          <w:p>
            <w:pPr>
              <w:keepNext w:val="0"/>
              <w:keepLines w:val="0"/>
              <w:pageBreakBefore w:val="0"/>
              <w:tabs>
                <w:tab w:val="left" w:pos="2140"/>
              </w:tabs>
              <w:kinsoku/>
              <w:overflowPunct/>
              <w:topLinePunct w:val="0"/>
              <w:autoSpaceDE/>
              <w:autoSpaceDN/>
              <w:bidi w:val="0"/>
              <w:spacing w:line="3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（4）专兼职教员须提供相应作业领域 5 年以上工作实践经验证明材料。</w:t>
            </w:r>
          </w:p>
        </w:tc>
      </w:tr>
      <w:tr>
        <w:tblPrEx>
          <w:tblCellMar>
            <w:top w:w="0" w:type="dxa"/>
            <w:left w:w="10" w:type="dxa"/>
            <w:bottom w:w="0" w:type="dxa"/>
            <w:right w:w="10" w:type="dxa"/>
          </w:tblCellMar>
        </w:tblPrEx>
        <w:trPr>
          <w:trHeight w:val="2787"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教学评估考核机制（15分）</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健全培训管理制度</w:t>
            </w:r>
          </w:p>
        </w:tc>
        <w:tc>
          <w:tcPr>
            <w:tcW w:w="22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制定岗位职责、教学管理及考核、学员考核、培训登记、档案管理、过程控制、经费管理、后勤保障、各类培训项目安全操作规程、安全事故应急预案、教职员工内部培训等相关制度（缺一项扣1分）</w:t>
            </w:r>
          </w:p>
        </w:tc>
        <w:tc>
          <w:tcPr>
            <w:tcW w:w="410"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提供单位盖章的书面材料</w:t>
            </w:r>
          </w:p>
        </w:tc>
      </w:tr>
      <w:tr>
        <w:tblPrEx>
          <w:tblCellMar>
            <w:top w:w="0" w:type="dxa"/>
            <w:left w:w="10" w:type="dxa"/>
            <w:bottom w:w="0" w:type="dxa"/>
            <w:right w:w="10" w:type="dxa"/>
          </w:tblCellMar>
        </w:tblPrEx>
        <w:trPr>
          <w:trHeight w:val="1899"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设立工作台账，确保培训有效实施</w:t>
            </w:r>
          </w:p>
        </w:tc>
        <w:tc>
          <w:tcPr>
            <w:tcW w:w="228" w:type="pc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特种作业培训操作项目培训考核大纲、教材；开班通知、计划、课程表、教学日志、学员上课签到、培训学员评教表等（缺一项扣1分）</w:t>
            </w:r>
          </w:p>
        </w:tc>
        <w:tc>
          <w:tcPr>
            <w:tcW w:w="410"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提供单位盖章的书面材料；现场备查</w:t>
            </w:r>
          </w:p>
        </w:tc>
      </w:tr>
      <w:tr>
        <w:tblPrEx>
          <w:tblCellMar>
            <w:top w:w="0" w:type="dxa"/>
            <w:left w:w="10" w:type="dxa"/>
            <w:bottom w:w="0" w:type="dxa"/>
            <w:right w:w="10" w:type="dxa"/>
          </w:tblCellMar>
        </w:tblPrEx>
        <w:trPr>
          <w:trHeight w:val="3474"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shd w:val="clear" w:color="auto" w:fill="FFFFFF"/>
              <w:kinsoku/>
              <w:wordWrap w:val="0"/>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规范档案管理</w:t>
            </w:r>
          </w:p>
          <w:p>
            <w:pPr>
              <w:keepNext w:val="0"/>
              <w:keepLines w:val="0"/>
              <w:pageBreakBefore w:val="0"/>
              <w:shd w:val="clear" w:color="auto" w:fill="FFFFFF"/>
              <w:kinsoku/>
              <w:wordWrap w:val="0"/>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22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（1）现场不能提供抽查的档案材料，或档案内容严重缺失，保存期限少于规定年限（7、4）；</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（2）纸质档案“一人一档，一班一册”归档，不符合要求的，（抽查5份，错扣1分/份）；</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（3）按编制目录，查阅方便，不符合要求的，（抽查5份，错扣1分/份）。</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shd w:val="clear" w:color="auto" w:fill="FFFFFF"/>
              <w:kinsoku/>
              <w:wordWrap w:val="0"/>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档案清单：</w:t>
            </w:r>
            <w:r>
              <w:rPr>
                <w:rFonts w:hint="eastAsia" w:ascii="仿宋_GB2312" w:hAnsi="仿宋_GB2312" w:eastAsia="仿宋_GB2312" w:cs="仿宋_GB2312"/>
                <w:color w:val="auto"/>
                <w:sz w:val="28"/>
                <w:szCs w:val="28"/>
                <w:highlight w:val="none"/>
              </w:rPr>
              <w:t>（1）广州市安全应急宣传教育中心安全生产资料人员报班申报表； （2）安全生产资格考试计划报备表； （3）安全生产资格培训计划报备表；</w:t>
            </w:r>
          </w:p>
          <w:p>
            <w:pPr>
              <w:keepNext w:val="0"/>
              <w:keepLines w:val="0"/>
              <w:pageBreakBefore w:val="0"/>
              <w:shd w:val="clear" w:color="auto" w:fill="FFFFFF"/>
              <w:kinsoku/>
              <w:wordWrap w:val="0"/>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（4）学员相片总表；</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（5）报考人员情况明细表</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（6）教学日志；（7）学员上课签到</w:t>
            </w:r>
          </w:p>
        </w:tc>
      </w:tr>
      <w:tr>
        <w:tblPrEx>
          <w:tblCellMar>
            <w:top w:w="0" w:type="dxa"/>
            <w:left w:w="10" w:type="dxa"/>
            <w:bottom w:w="0" w:type="dxa"/>
            <w:right w:w="10" w:type="dxa"/>
          </w:tblCellMar>
        </w:tblPrEx>
        <w:trPr>
          <w:trHeight w:val="1487"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教学及后勤保障设施（50分）</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场地使用具有固定、独立和相对集中</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numPr>
                <w:ilvl w:val="8"/>
                <w:numId w:val="0"/>
              </w:numPr>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★（1）提供场地使用证明文件（产权证明或租赁合同）；</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（2）提供场地布置图。</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如租赁应有5年以上独立使用权的固定场所的租赁合同</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r>
      <w:tr>
        <w:tblPrEx>
          <w:tblCellMar>
            <w:top w:w="0" w:type="dxa"/>
            <w:left w:w="10" w:type="dxa"/>
            <w:bottom w:w="0" w:type="dxa"/>
            <w:right w:w="10" w:type="dxa"/>
          </w:tblCellMar>
        </w:tblPrEx>
        <w:trPr>
          <w:trHeight w:val="2303"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★消防安全应急措施</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消防安全制度和操作规程；（2）用火、用电、用油、用气安全管理；（3）消防设施、器材维护管理；（4）消防安全重点部位管理；（4）防火巡查和防火检查；（5）消防安全宣传教育培训；（6）灭火和应急疏散预案及消防演练；（7）消防档案管理。（缺一项扣1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（1）消防验收或备案等文件</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（2）提供加盖公章的消防设备设施清单及现场照片、消防疏散指示图</w:t>
            </w:r>
          </w:p>
        </w:tc>
      </w:tr>
      <w:tr>
        <w:tblPrEx>
          <w:tblCellMar>
            <w:top w:w="0" w:type="dxa"/>
            <w:left w:w="10" w:type="dxa"/>
            <w:bottom w:w="0" w:type="dxa"/>
            <w:right w:w="10" w:type="dxa"/>
          </w:tblCellMar>
        </w:tblPrEx>
        <w:trPr>
          <w:trHeight w:val="2177"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理论教室</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（1）符合固定、独立和相对集中，同时满足60人培训的教室，至少100平方米；（不满足扣10分）</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（2）教室环境安静、便于管理、整洁、采光、通风好；（不满足扣5分）；</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（3）配备讲台、黑板等教学设施（不满足扣5分）。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提供平面布置图、现场照片</w:t>
            </w:r>
          </w:p>
        </w:tc>
      </w:tr>
      <w:tr>
        <w:tblPrEx>
          <w:tblCellMar>
            <w:top w:w="0" w:type="dxa"/>
            <w:left w:w="10" w:type="dxa"/>
            <w:bottom w:w="0" w:type="dxa"/>
            <w:right w:w="10" w:type="dxa"/>
          </w:tblCellMar>
        </w:tblPrEx>
        <w:trPr>
          <w:trHeight w:val="1235"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办公场地</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（1）办公场所不少于40平方米；</w:t>
            </w:r>
            <w:r>
              <w:rPr>
                <w:rFonts w:hint="eastAsia" w:ascii="仿宋_GB2312" w:hAnsi="仿宋_GB2312" w:eastAsia="仿宋_GB2312" w:cs="仿宋_GB2312"/>
                <w:color w:val="auto"/>
                <w:sz w:val="28"/>
                <w:szCs w:val="28"/>
                <w:highlight w:val="none"/>
              </w:rPr>
              <w:t>档案室不少于</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0平方米</w:t>
            </w:r>
            <w:r>
              <w:rPr>
                <w:rFonts w:hint="eastAsia" w:ascii="仿宋_GB2312" w:hAnsi="仿宋_GB2312" w:eastAsia="仿宋_GB2312" w:cs="仿宋_GB2312"/>
                <w:color w:val="auto"/>
                <w:sz w:val="28"/>
                <w:szCs w:val="28"/>
                <w:highlight w:val="none"/>
              </w:rPr>
              <w:t>（不满足扣5分）</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（2）设有咨询处、服务电话、培训档案室、档案柜。（不满足扣5分）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提供现场照片</w:t>
            </w:r>
          </w:p>
        </w:tc>
      </w:tr>
      <w:tr>
        <w:tblPrEx>
          <w:tblCellMar>
            <w:top w:w="0" w:type="dxa"/>
            <w:left w:w="10" w:type="dxa"/>
            <w:bottom w:w="0" w:type="dxa"/>
            <w:right w:w="10" w:type="dxa"/>
          </w:tblCellMar>
        </w:tblPrEx>
        <w:trPr>
          <w:trHeight w:val="1223"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培训场地上墙制度及公告管理</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场地粘贴有关安全标志、警示标语，办公、教学场地内粘贴相关岗位职责、管理制度、安全操作规程。（缺一项扣1分）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提供现场照片</w:t>
            </w:r>
          </w:p>
        </w:tc>
      </w:tr>
      <w:tr>
        <w:tblPrEx>
          <w:tblCellMar>
            <w:top w:w="0" w:type="dxa"/>
            <w:left w:w="10" w:type="dxa"/>
            <w:bottom w:w="0" w:type="dxa"/>
            <w:right w:w="10" w:type="dxa"/>
          </w:tblCellMar>
        </w:tblPrEx>
        <w:trPr>
          <w:trHeight w:val="1232"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办公设备及辅助设施</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rPr>
              <w:t>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配备电脑、打印机、复印机、传真机、电话、身份证识别器。（缺一项扣1分）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提供设备清单及现场照片</w:t>
            </w:r>
          </w:p>
        </w:tc>
      </w:tr>
      <w:tr>
        <w:tblPrEx>
          <w:tblCellMar>
            <w:top w:w="0" w:type="dxa"/>
            <w:left w:w="10" w:type="dxa"/>
            <w:bottom w:w="0" w:type="dxa"/>
            <w:right w:w="10" w:type="dxa"/>
          </w:tblCellMar>
        </w:tblPrEx>
        <w:trPr>
          <w:trHeight w:val="1585"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服务设施</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numPr>
                <w:ilvl w:val="0"/>
                <w:numId w:val="3"/>
              </w:numPr>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设置公示板，公布培训报考流程、收费标准、课程表、培训注意事项等；（缺一项扣1分）</w:t>
            </w:r>
          </w:p>
          <w:p>
            <w:pPr>
              <w:keepNext w:val="0"/>
              <w:keepLines w:val="0"/>
              <w:pageBreakBefore w:val="0"/>
              <w:numPr>
                <w:ilvl w:val="0"/>
                <w:numId w:val="3"/>
              </w:numPr>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设有学生物品存放处、茶水供应处；（缺一项扣1分）</w:t>
            </w:r>
          </w:p>
          <w:p>
            <w:pPr>
              <w:keepNext w:val="0"/>
              <w:keepLines w:val="0"/>
              <w:pageBreakBefore w:val="0"/>
              <w:tabs>
                <w:tab w:val="left" w:pos="2140"/>
              </w:tabs>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（3）醒目位置应当悬挂标明投诉热线。（缺扣5分）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（1）公示板可用移动式或固定式黑板、白板、LED显示屏等；</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（2）提供现场照片。</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r>
      <w:tr>
        <w:tblPrEx>
          <w:tblCellMar>
            <w:top w:w="0" w:type="dxa"/>
            <w:left w:w="10" w:type="dxa"/>
            <w:bottom w:w="0" w:type="dxa"/>
            <w:right w:w="10" w:type="dxa"/>
          </w:tblCellMar>
        </w:tblPrEx>
        <w:trPr>
          <w:trHeight w:val="2628" w:hRule="atLeast"/>
          <w:jc w:val="center"/>
        </w:trPr>
        <w:tc>
          <w:tcPr>
            <w:tcW w:w="486" w:type="pct"/>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特种作业人员安全生产培训机构基本条件（附加条件，需同时满足1-15项条件）</w:t>
            </w: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实际操作条件（30分）</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场地使用符合《安全生产培训机构基本条件》要求，具备与所培训特种作业类别相适应的实际操作场地。</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提供场地使用证明文件（产权证明或租赁合同）；</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（2）提供场地布置图</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（1）租赁应有5年以上独立使用权的固定场所的租赁合同</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（2）提供加盖公章的场地使用证明文件复印件</w:t>
            </w:r>
          </w:p>
        </w:tc>
      </w:tr>
      <w:tr>
        <w:tblPrEx>
          <w:tblCellMar>
            <w:top w:w="0" w:type="dxa"/>
            <w:left w:w="10" w:type="dxa"/>
            <w:bottom w:w="0" w:type="dxa"/>
            <w:right w:w="10" w:type="dxa"/>
          </w:tblCellMar>
        </w:tblPrEx>
        <w:trPr>
          <w:trHeight w:val="3161" w:hRule="atLeast"/>
          <w:jc w:val="center"/>
        </w:trPr>
        <w:tc>
          <w:tcPr>
            <w:tcW w:w="48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实训室场地条件</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（1）具备至少100平方米并与所培训作业类别相适应的教学场地。符合固定、独立和相对集中，同时满足60人分科目、分区域实操的教室；（不满足扣10分）</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（2）教室环境安静、便于管理、整洁、采光、通风好；（不满足扣5分）</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（3）粘贴安全警示标志，配备灭火器等消防安全设施。（缺一项扣5分）</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提供加盖公章的消防设备设施清单及现场照片</w:t>
            </w:r>
          </w:p>
        </w:tc>
      </w:tr>
      <w:tr>
        <w:tblPrEx>
          <w:tblCellMar>
            <w:top w:w="0" w:type="dxa"/>
            <w:left w:w="10" w:type="dxa"/>
            <w:bottom w:w="0" w:type="dxa"/>
            <w:right w:w="10" w:type="dxa"/>
          </w:tblCellMar>
        </w:tblPrEx>
        <w:trPr>
          <w:trHeight w:val="4867" w:hRule="atLeast"/>
          <w:jc w:val="center"/>
        </w:trPr>
        <w:tc>
          <w:tcPr>
            <w:tcW w:w="48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实操师资配备（30分）</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具备与所培训作业类别相适应的、专门的安全生产知识和实际操作能力的培训师资</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（1）安全生产培训机构教员花名册（列明姓名、年龄、学历、毕业院校、所学专业、职称、任教作业、任教年限、专兼职等情况）及相关资料复印件；（缺一项扣1分）</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（2）每个特种作业</w:t>
            </w:r>
            <w:r>
              <w:rPr>
                <w:rFonts w:hint="eastAsia" w:ascii="仿宋_GB2312" w:hAnsi="仿宋_GB2312" w:eastAsia="仿宋_GB2312" w:cs="仿宋_GB2312"/>
                <w:color w:val="auto"/>
                <w:sz w:val="28"/>
                <w:szCs w:val="28"/>
                <w:highlight w:val="none"/>
                <w:lang w:eastAsia="zh-CN"/>
              </w:rPr>
              <w:t>实操</w:t>
            </w:r>
            <w:r>
              <w:rPr>
                <w:rFonts w:hint="eastAsia" w:ascii="仿宋_GB2312" w:hAnsi="仿宋_GB2312" w:eastAsia="仿宋_GB2312" w:cs="仿宋_GB2312"/>
                <w:color w:val="auto"/>
                <w:sz w:val="28"/>
                <w:szCs w:val="28"/>
                <w:highlight w:val="none"/>
              </w:rPr>
              <w:t>项目培训至少配备</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名</w:t>
            </w:r>
            <w:r>
              <w:rPr>
                <w:rFonts w:hint="eastAsia" w:ascii="仿宋_GB2312" w:hAnsi="仿宋_GB2312" w:eastAsia="仿宋_GB2312" w:cs="仿宋_GB2312"/>
                <w:color w:val="auto"/>
                <w:sz w:val="28"/>
                <w:szCs w:val="28"/>
                <w:highlight w:val="none"/>
                <w:lang w:eastAsia="zh-CN"/>
              </w:rPr>
              <w:t>实操</w:t>
            </w:r>
            <w:r>
              <w:rPr>
                <w:rFonts w:hint="eastAsia" w:ascii="仿宋_GB2312" w:hAnsi="仿宋_GB2312" w:eastAsia="仿宋_GB2312" w:cs="仿宋_GB2312"/>
                <w:color w:val="auto"/>
                <w:sz w:val="28"/>
                <w:szCs w:val="28"/>
                <w:highlight w:val="none"/>
              </w:rPr>
              <w:t>教员、</w:t>
            </w:r>
            <w:r>
              <w:rPr>
                <w:rFonts w:hint="eastAsia" w:ascii="仿宋_GB2312" w:hAnsi="仿宋_GB2312" w:eastAsia="仿宋_GB2312" w:cs="仿宋_GB2312"/>
                <w:color w:val="auto"/>
                <w:sz w:val="28"/>
                <w:szCs w:val="28"/>
                <w:highlight w:val="none"/>
                <w:lang w:eastAsia="zh-CN"/>
              </w:rPr>
              <w:t>其中专职实操教员至少</w:t>
            </w:r>
            <w:r>
              <w:rPr>
                <w:rFonts w:hint="eastAsia" w:ascii="仿宋_GB2312" w:hAnsi="仿宋_GB2312" w:eastAsia="仿宋_GB2312" w:cs="仿宋_GB2312"/>
                <w:color w:val="auto"/>
                <w:sz w:val="28"/>
                <w:szCs w:val="28"/>
                <w:highlight w:val="none"/>
                <w:lang w:val="en-US" w:eastAsia="zh-CN"/>
              </w:rPr>
              <w:t>1名</w:t>
            </w:r>
            <w:r>
              <w:rPr>
                <w:rFonts w:hint="eastAsia" w:ascii="仿宋_GB2312" w:hAnsi="仿宋_GB2312" w:eastAsia="仿宋_GB2312" w:cs="仿宋_GB2312"/>
                <w:color w:val="auto"/>
                <w:sz w:val="28"/>
                <w:szCs w:val="28"/>
                <w:highlight w:val="none"/>
              </w:rPr>
              <w:t>；</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（3）提供项目安全教员培训证或相关专业中级职称或技师职业技能等级证；（不满足扣5分/名）</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（4）提供满足相对应作业领域5 年以上工作实践经验证明材料；（不满足扣5分/名）</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（5）配备专职教员情况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（至少2名专职）</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（1）提供单位盖章的证书复印件；</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（2）专职教员须提供社保证明（三个月社保缴交记录）、身份证、相应作业教学领域学历证书、职称证书、劳动合同；</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（3）兼职教员须提供身份证、相应作业教学领域学历证书、职称证书、聘用证明；</w:t>
            </w:r>
          </w:p>
          <w:p>
            <w:pPr>
              <w:keepNext w:val="0"/>
              <w:keepLines w:val="0"/>
              <w:pageBreakBefore w:val="0"/>
              <w:tabs>
                <w:tab w:val="left" w:pos="2140"/>
              </w:tabs>
              <w:kinsoku/>
              <w:overflowPunct/>
              <w:topLinePunct w:val="0"/>
              <w:autoSpaceDE/>
              <w:autoSpaceDN/>
              <w:bidi w:val="0"/>
              <w:spacing w:line="3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（4）专兼职教员须提供相应作业领域5 年以上工作实践经验证明材料。</w:t>
            </w:r>
          </w:p>
        </w:tc>
      </w:tr>
      <w:tr>
        <w:tblPrEx>
          <w:tblCellMar>
            <w:top w:w="0" w:type="dxa"/>
            <w:left w:w="10" w:type="dxa"/>
            <w:bottom w:w="0" w:type="dxa"/>
            <w:right w:w="10" w:type="dxa"/>
          </w:tblCellMar>
        </w:tblPrEx>
        <w:trPr>
          <w:trHeight w:val="3584" w:hRule="atLeast"/>
          <w:jc w:val="center"/>
        </w:trPr>
        <w:tc>
          <w:tcPr>
            <w:tcW w:w="48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sz w:val="28"/>
                <w:szCs w:val="28"/>
                <w:highlight w:val="none"/>
              </w:rPr>
            </w:pPr>
          </w:p>
        </w:tc>
        <w:tc>
          <w:tcPr>
            <w:tcW w:w="278" w:type="pc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w:t>
            </w:r>
          </w:p>
        </w:tc>
        <w:tc>
          <w:tcPr>
            <w:tcW w:w="278"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sz w:val="28"/>
                <w:szCs w:val="28"/>
                <w:highlight w:val="none"/>
              </w:rPr>
              <w:t>实操教学设备材料（40分）</w:t>
            </w:r>
          </w:p>
        </w:tc>
        <w:tc>
          <w:tcPr>
            <w:tcW w:w="61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应具备与所承担的特种作业项目相适应的固定场所、设备及相应的硬件设施，设备设施应无安全隐患。</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40分</w:t>
            </w:r>
          </w:p>
        </w:tc>
        <w:tc>
          <w:tcPr>
            <w:tcW w:w="1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个科目设备材料数量不少于考试点建设标准；（对照《广东省安全生产监督管理局特种作业实际操作考试点建设要求和验收评审表（试行）》（粤安监政法〔2016〕8号）中《特种作业相应作业类别设备、材料、仪器配置标准》。</w:t>
            </w:r>
          </w:p>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（不满足扣10分/科目）</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tabs>
                <w:tab w:val="left" w:pos="2140"/>
              </w:tabs>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（1）提供单位盖章的教学场地情况和设施设备清单的书面材料；</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（2）提供现场照片；</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（3）现场核查</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tc>
      </w:tr>
      <w:tr>
        <w:tblPrEx>
          <w:tblCellMar>
            <w:top w:w="0" w:type="dxa"/>
            <w:left w:w="10" w:type="dxa"/>
            <w:bottom w:w="0" w:type="dxa"/>
            <w:right w:w="10" w:type="dxa"/>
          </w:tblCellMar>
        </w:tblPrEx>
        <w:trPr>
          <w:trHeight w:val="4181" w:hRule="atLeast"/>
          <w:jc w:val="center"/>
        </w:trPr>
        <w:tc>
          <w:tcPr>
            <w:tcW w:w="486"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检查结果</w:t>
            </w:r>
          </w:p>
        </w:tc>
        <w:tc>
          <w:tcPr>
            <w:tcW w:w="4513" w:type="pct"/>
            <w:gridSpan w:val="7"/>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公告特种作业培训项目：（特种作业操作项目名称）培训机构。</w:t>
            </w:r>
            <w:r>
              <w:rPr>
                <w:rFonts w:hint="eastAsia" w:ascii="仿宋_GB2312" w:hAnsi="仿宋_GB2312" w:eastAsia="仿宋_GB2312" w:cs="仿宋_GB2312"/>
                <w:color w:val="auto"/>
                <w:sz w:val="28"/>
                <w:szCs w:val="28"/>
                <w:highlight w:val="none"/>
              </w:rPr>
              <w:t>存在问题及整改意见：</w:t>
            </w:r>
          </w:p>
          <w:p>
            <w:pPr>
              <w:keepNext w:val="0"/>
              <w:keepLines w:val="0"/>
              <w:pageBreakBefore w:val="0"/>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检查组人员签名：</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360" w:lineRule="exact"/>
              <w:jc w:val="both"/>
              <w:rPr>
                <w:rFonts w:hint="eastAsia" w:ascii="仿宋_GB2312" w:hAnsi="仿宋_GB2312" w:eastAsia="仿宋_GB2312" w:cs="仿宋_GB2312"/>
                <w:color w:val="auto"/>
                <w:sz w:val="28"/>
                <w:szCs w:val="28"/>
                <w:highlight w:val="none"/>
              </w:rPr>
            </w:pPr>
          </w:p>
        </w:tc>
      </w:tr>
    </w:tbl>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培</w:t>
      </w: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880"/>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left="2172" w:leftChars="760" w:hanging="576" w:hangingChars="18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训机构名称：                                      检查日期：</w:t>
      </w:r>
    </w:p>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lang w:eastAsia="zh-CN"/>
        </w:rPr>
        <w:sectPr>
          <w:pgSz w:w="16838" w:h="11906" w:orient="landscape"/>
          <w:pgMar w:top="1531" w:right="1587" w:bottom="1474" w:left="1587" w:header="851" w:footer="992" w:gutter="0"/>
          <w:cols w:space="425" w:num="1"/>
          <w:docGrid w:type="lines" w:linePitch="312" w:charSpace="0"/>
        </w:sectPr>
      </w:pPr>
      <w:r>
        <w:rPr>
          <w:rFonts w:hint="eastAsia" w:ascii="仿宋" w:hAnsi="仿宋" w:eastAsia="仿宋" w:cs="仿宋"/>
          <w:color w:val="auto"/>
          <w:sz w:val="32"/>
          <w:szCs w:val="32"/>
          <w:highlight w:val="none"/>
        </w:rPr>
        <w:t>备注：（1）主要依据安全生产培训机构基本条件AQ/T8011-2016及广东省厅相关文件；（2）查看原件；（3）现场核查；（4）“</w:t>
      </w:r>
      <w:r>
        <w:rPr>
          <w:rFonts w:hint="eastAsia" w:ascii="仿宋" w:hAnsi="仿宋" w:eastAsia="仿宋" w:cs="仿宋"/>
          <w:b/>
          <w:color w:val="auto"/>
          <w:sz w:val="32"/>
          <w:szCs w:val="32"/>
          <w:highlight w:val="none"/>
        </w:rPr>
        <w:t>★</w:t>
      </w:r>
      <w:r>
        <w:rPr>
          <w:rFonts w:hint="eastAsia" w:ascii="仿宋" w:hAnsi="仿宋" w:eastAsia="仿宋" w:cs="仿宋"/>
          <w:color w:val="auto"/>
          <w:sz w:val="32"/>
          <w:szCs w:val="32"/>
          <w:highlight w:val="none"/>
        </w:rPr>
        <w:t>”否定项（停止评估）；（5）安全生产培训机构条件满分100分，80分合格；（6）特种作业人员安全生产培训机构条件满分100分，80分合格，同时满足安全生产培训机构条件</w:t>
      </w:r>
      <w:r>
        <w:rPr>
          <w:rFonts w:hint="eastAsia" w:ascii="仿宋" w:hAnsi="仿宋" w:eastAsia="仿宋" w:cs="仿宋"/>
          <w:color w:val="auto"/>
          <w:sz w:val="32"/>
          <w:szCs w:val="32"/>
          <w:highlight w:val="none"/>
          <w:lang w:eastAsia="zh-CN"/>
        </w:rPr>
        <w:t>。</w:t>
      </w:r>
    </w:p>
    <w:p>
      <w:pPr>
        <w:keepNext w:val="0"/>
        <w:keepLines w:val="0"/>
        <w:pageBreakBefore w:val="0"/>
        <w:kinsoku/>
        <w:overflowPunct/>
        <w:topLinePunct w:val="0"/>
        <w:autoSpaceDE/>
        <w:autoSpaceDN/>
        <w:bidi w:val="0"/>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keepNext w:val="0"/>
        <w:keepLines w:val="0"/>
        <w:pageBreakBefore w:val="0"/>
        <w:kinsoku/>
        <w:overflowPunct/>
        <w:topLinePunct w:val="0"/>
        <w:autoSpaceDE/>
        <w:autoSpaceDN/>
        <w:bidi w:val="0"/>
        <w:spacing w:line="60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广州市安全生产资格考试点申请表</w:t>
      </w:r>
    </w:p>
    <w:p>
      <w:pPr>
        <w:keepNext w:val="0"/>
        <w:keepLines w:val="0"/>
        <w:pageBreakBefore w:val="0"/>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036"/>
        <w:gridCol w:w="2429"/>
        <w:gridCol w:w="826"/>
        <w:gridCol w:w="152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3255" w:type="dxa"/>
            <w:gridSpan w:val="2"/>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c>
          <w:tcPr>
            <w:tcW w:w="1521" w:type="dxa"/>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p>
        </w:tc>
        <w:tc>
          <w:tcPr>
            <w:tcW w:w="2049" w:type="dxa"/>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tc>
        <w:tc>
          <w:tcPr>
            <w:tcW w:w="3255" w:type="dxa"/>
            <w:gridSpan w:val="2"/>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c>
          <w:tcPr>
            <w:tcW w:w="1521" w:type="dxa"/>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所属区</w:t>
            </w:r>
          </w:p>
        </w:tc>
        <w:tc>
          <w:tcPr>
            <w:tcW w:w="2049" w:type="dxa"/>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考试点地址</w:t>
            </w:r>
          </w:p>
        </w:tc>
        <w:tc>
          <w:tcPr>
            <w:tcW w:w="3255" w:type="dxa"/>
            <w:gridSpan w:val="2"/>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c>
          <w:tcPr>
            <w:tcW w:w="1521" w:type="dxa"/>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所属区</w:t>
            </w:r>
          </w:p>
        </w:tc>
        <w:tc>
          <w:tcPr>
            <w:tcW w:w="2049" w:type="dxa"/>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tc>
        <w:tc>
          <w:tcPr>
            <w:tcW w:w="2429" w:type="dxa"/>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c>
          <w:tcPr>
            <w:tcW w:w="2347"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联系电话、邮箱</w:t>
            </w:r>
          </w:p>
        </w:tc>
        <w:tc>
          <w:tcPr>
            <w:tcW w:w="2049" w:type="dxa"/>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法人证书</w:t>
            </w:r>
          </w:p>
        </w:tc>
        <w:tc>
          <w:tcPr>
            <w:tcW w:w="2429" w:type="dxa"/>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c>
          <w:tcPr>
            <w:tcW w:w="2347"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注册资金</w:t>
            </w:r>
          </w:p>
        </w:tc>
        <w:tc>
          <w:tcPr>
            <w:tcW w:w="2049" w:type="dxa"/>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977" w:type="dxa"/>
            <w:vMerge w:val="restart"/>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基本情况</w:t>
            </w:r>
          </w:p>
        </w:tc>
        <w:tc>
          <w:tcPr>
            <w:tcW w:w="1036" w:type="dxa"/>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职工情况</w:t>
            </w:r>
          </w:p>
        </w:tc>
        <w:tc>
          <w:tcPr>
            <w:tcW w:w="6825" w:type="dxa"/>
            <w:gridSpan w:val="4"/>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人，其中：专职考试点管理人员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人、设备（网络）维护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人、兼职管理人员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w:t>
            </w: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考务人员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977" w:type="dxa"/>
            <w:vMerge w:val="continue"/>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p>
        </w:tc>
        <w:tc>
          <w:tcPr>
            <w:tcW w:w="1036" w:type="dxa"/>
            <w:vMerge w:val="restart"/>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场地情况</w:t>
            </w:r>
          </w:p>
        </w:tc>
        <w:tc>
          <w:tcPr>
            <w:tcW w:w="6825" w:type="dxa"/>
            <w:gridSpan w:val="4"/>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平方米，其中：办公：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平方米、理论室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平方米、实操室：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平方米、候考室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平方米，其它（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77" w:type="dxa"/>
            <w:vMerge w:val="continue"/>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tc>
        <w:tc>
          <w:tcPr>
            <w:tcW w:w="1036" w:type="dxa"/>
            <w:vMerge w:val="continue"/>
            <w:vAlign w:val="center"/>
          </w:tcPr>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tc>
        <w:tc>
          <w:tcPr>
            <w:tcW w:w="6825" w:type="dxa"/>
            <w:gridSpan w:val="4"/>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产权性质：□自有； □租赁，租赁期限：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977" w:type="dxa"/>
            <w:vMerge w:val="continue"/>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tc>
        <w:tc>
          <w:tcPr>
            <w:tcW w:w="1036" w:type="dxa"/>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单位概况</w:t>
            </w:r>
          </w:p>
        </w:tc>
        <w:tc>
          <w:tcPr>
            <w:tcW w:w="6825" w:type="dxa"/>
            <w:gridSpan w:val="4"/>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考试点类型</w:t>
            </w:r>
          </w:p>
        </w:tc>
        <w:tc>
          <w:tcPr>
            <w:tcW w:w="6825" w:type="dxa"/>
            <w:gridSpan w:val="4"/>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□理论考试点        □ 特种作业实操考试点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实操</w:t>
            </w:r>
          </w:p>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6825" w:type="dxa"/>
            <w:gridSpan w:val="4"/>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视频监控情况</w:t>
            </w:r>
          </w:p>
        </w:tc>
        <w:tc>
          <w:tcPr>
            <w:tcW w:w="6825" w:type="dxa"/>
            <w:gridSpan w:val="4"/>
            <w:vAlign w:val="center"/>
          </w:tcPr>
          <w:p>
            <w:pPr>
              <w:keepNext w:val="0"/>
              <w:keepLines w:val="0"/>
              <w:pageBreakBefore w:val="0"/>
              <w:kinsoku/>
              <w:overflowPunct/>
              <w:topLinePunct w:val="0"/>
              <w:autoSpaceDE/>
              <w:autoSpaceDN/>
              <w:bidi w:val="0"/>
              <w:spacing w:line="360" w:lineRule="exact"/>
              <w:ind w:left="0" w:hanging="560" w:hanging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□可对接省考试机构        □ 可对接市考试机构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013" w:type="dxa"/>
            <w:gridSpan w:val="2"/>
            <w:vAlign w:val="center"/>
          </w:tcPr>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考试点建设</w:t>
            </w:r>
          </w:p>
          <w:p>
            <w:pPr>
              <w:keepNext w:val="0"/>
              <w:keepLines w:val="0"/>
              <w:pageBreakBefore w:val="0"/>
              <w:kinsoku/>
              <w:overflowPunct/>
              <w:topLinePunct w:val="0"/>
              <w:autoSpaceDE/>
              <w:autoSpaceDN/>
              <w:bidi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自查情况</w:t>
            </w:r>
          </w:p>
        </w:tc>
        <w:tc>
          <w:tcPr>
            <w:tcW w:w="6825" w:type="dxa"/>
            <w:gridSpan w:val="4"/>
            <w:vAlign w:val="center"/>
          </w:tcPr>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p>
            <w:pPr>
              <w:keepNext w:val="0"/>
              <w:keepLines w:val="0"/>
              <w:pageBreakBefore w:val="0"/>
              <w:kinsoku/>
              <w:overflowPunct/>
              <w:topLinePunct w:val="0"/>
              <w:autoSpaceDE/>
              <w:autoSpaceDN/>
              <w:bidi w:val="0"/>
              <w:spacing w:line="360" w:lineRule="exact"/>
              <w:ind w:left="0" w:hanging="560" w:hangingChars="200"/>
              <w:rPr>
                <w:rFonts w:hint="eastAsia" w:ascii="仿宋" w:hAnsi="仿宋" w:eastAsia="仿宋" w:cs="仿宋"/>
                <w:color w:val="auto"/>
                <w:sz w:val="28"/>
                <w:szCs w:val="28"/>
                <w:highlight w:val="none"/>
              </w:rPr>
            </w:pPr>
          </w:p>
        </w:tc>
      </w:tr>
    </w:tbl>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rPr>
        <w:sectPr>
          <w:footerReference r:id="rId4" w:type="default"/>
          <w:pgSz w:w="11906" w:h="16838"/>
          <w:pgMar w:top="1588" w:right="1474" w:bottom="1588" w:left="1531" w:header="851" w:footer="992" w:gutter="0"/>
          <w:cols w:space="720" w:num="1"/>
          <w:docGrid w:type="lines" w:linePitch="312" w:charSpace="0"/>
        </w:sectPr>
      </w:pPr>
    </w:p>
    <w:p>
      <w:pPr>
        <w:keepNext w:val="0"/>
        <w:keepLines w:val="0"/>
        <w:pageBreakBefore w:val="0"/>
        <w:kinsoku/>
        <w:overflowPunct/>
        <w:topLinePunct w:val="0"/>
        <w:autoSpaceDE/>
        <w:autoSpaceDN/>
        <w:bidi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pPr>
        <w:keepNext w:val="0"/>
        <w:keepLines w:val="0"/>
        <w:pageBreakBefore w:val="0"/>
        <w:kinsoku/>
        <w:overflowPunct/>
        <w:topLinePunct w:val="0"/>
        <w:autoSpaceDE/>
        <w:autoSpaceDN/>
        <w:bidi w:val="0"/>
        <w:spacing w:line="600" w:lineRule="exact"/>
        <w:jc w:val="center"/>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广州市安全生产知识考试点检查表</w:t>
      </w:r>
    </w:p>
    <w:p>
      <w:pPr>
        <w:keepNext w:val="0"/>
        <w:keepLines w:val="0"/>
        <w:pageBreakBefore w:val="0"/>
        <w:kinsoku/>
        <w:overflowPunct/>
        <w:topLinePunct w:val="0"/>
        <w:autoSpaceDE/>
        <w:autoSpaceDN/>
        <w:bidi w:val="0"/>
        <w:spacing w:line="600" w:lineRule="exact"/>
        <w:jc w:val="center"/>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（理论考试点）</w:t>
      </w:r>
    </w:p>
    <w:p>
      <w:pPr>
        <w:keepNext w:val="0"/>
        <w:keepLines w:val="0"/>
        <w:pageBreakBefore w:val="0"/>
        <w:kinsoku/>
        <w:overflowPunct/>
        <w:topLinePunct w:val="0"/>
        <w:autoSpaceDE/>
        <w:autoSpaceDN/>
        <w:bidi w:val="0"/>
        <w:spacing w:line="600" w:lineRule="exact"/>
        <w:jc w:val="center"/>
        <w:rPr>
          <w:rFonts w:hint="eastAsia" w:ascii="方正小标宋_GBK" w:hAnsi="方正小标宋_GBK" w:eastAsia="方正小标宋_GBK" w:cs="方正小标宋_GBK"/>
          <w:b w:val="0"/>
          <w:bCs/>
          <w:color w:val="auto"/>
          <w:sz w:val="32"/>
          <w:szCs w:val="32"/>
          <w:highlight w:val="none"/>
        </w:rPr>
      </w:pPr>
    </w:p>
    <w:p>
      <w:pPr>
        <w:keepNext w:val="0"/>
        <w:keepLines w:val="0"/>
        <w:pageBreakBefore w:val="0"/>
        <w:kinsoku/>
        <w:overflowPunct/>
        <w:topLinePunct w:val="0"/>
        <w:autoSpaceDE/>
        <w:autoSpaceDN/>
        <w:bidi w:val="0"/>
        <w:spacing w:line="600" w:lineRule="exact"/>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考试点：                                          检查时间：  年   月    日</w:t>
      </w:r>
    </w:p>
    <w:tbl>
      <w:tblPr>
        <w:tblStyle w:val="7"/>
        <w:tblpPr w:leftFromText="180" w:rightFromText="180" w:vertAnchor="text" w:horzAnchor="page" w:tblpX="1303" w:tblpY="480"/>
        <w:tblOverlap w:val="never"/>
        <w:tblW w:w="15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022"/>
        <w:gridCol w:w="4247"/>
        <w:gridCol w:w="1200"/>
        <w:gridCol w:w="1400"/>
        <w:gridCol w:w="1400"/>
        <w:gridCol w:w="27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569" w:hRule="atLeast"/>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检查项目</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left="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检查内容</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评分标准（带★的为必备项）</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配分</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书面评审</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现场抽查</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059" w:hRule="atLeast"/>
        </w:trPr>
        <w:tc>
          <w:tcPr>
            <w:tcW w:w="13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1</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b/>
                <w:snapToGrid w:val="0"/>
                <w:color w:val="auto"/>
                <w:kern w:val="0"/>
                <w:sz w:val="24"/>
                <w:szCs w:val="24"/>
                <w:highlight w:val="none"/>
              </w:rPr>
            </w:pPr>
            <w:r>
              <w:rPr>
                <w:rFonts w:hint="eastAsia" w:ascii="仿宋_GB2312" w:hAnsi="仿宋_GB2312" w:eastAsia="仿宋_GB2312" w:cs="仿宋_GB2312"/>
                <w:b/>
                <w:snapToGrid w:val="0"/>
                <w:color w:val="auto"/>
                <w:kern w:val="0"/>
                <w:sz w:val="24"/>
                <w:szCs w:val="24"/>
                <w:highlight w:val="none"/>
              </w:rPr>
              <w:t>组织管理</w:t>
            </w:r>
          </w:p>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snapToGrid w:val="0"/>
                <w:color w:val="auto"/>
                <w:kern w:val="0"/>
                <w:sz w:val="24"/>
                <w:szCs w:val="24"/>
                <w:highlight w:val="none"/>
              </w:rPr>
              <w:t>（25分）</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1-1</w:t>
            </w:r>
            <w:r>
              <w:rPr>
                <w:rFonts w:hint="eastAsia" w:ascii="仿宋_GB2312" w:hAnsi="仿宋_GB2312" w:eastAsia="仿宋_GB2312" w:cs="仿宋_GB2312"/>
                <w:b/>
                <w:bCs/>
                <w:snapToGrid w:val="0"/>
                <w:color w:val="auto"/>
                <w:kern w:val="0"/>
                <w:sz w:val="24"/>
                <w:szCs w:val="24"/>
                <w:highlight w:val="none"/>
              </w:rPr>
              <w:t>★</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机构</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管理</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4"/>
              </w:numPr>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考试点成立文件</w:t>
            </w:r>
          </w:p>
          <w:p>
            <w:pPr>
              <w:keepNext w:val="0"/>
              <w:keepLines w:val="0"/>
              <w:pageBreakBefore w:val="0"/>
              <w:widowControl/>
              <w:numPr>
                <w:ilvl w:val="0"/>
                <w:numId w:val="4"/>
              </w:numPr>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考试点职责分工</w:t>
            </w:r>
          </w:p>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各地市考试点申请批示文件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9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1-2</w:t>
            </w:r>
            <w:r>
              <w:rPr>
                <w:rFonts w:hint="eastAsia" w:ascii="仿宋_GB2312" w:hAnsi="仿宋_GB2312" w:eastAsia="仿宋_GB2312" w:cs="仿宋_GB2312"/>
                <w:b/>
                <w:bCs/>
                <w:snapToGrid w:val="0"/>
                <w:color w:val="auto"/>
                <w:kern w:val="0"/>
                <w:sz w:val="24"/>
                <w:szCs w:val="24"/>
                <w:highlight w:val="none"/>
              </w:rPr>
              <w:t>★</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 xml:space="preserve">  人员</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 xml:space="preserve"> 配置</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5"/>
              </w:numPr>
              <w:kinsoku/>
              <w:overflowPunct/>
              <w:topLinePunct w:val="0"/>
              <w:autoSpaceDE/>
              <w:autoSpaceDN/>
              <w:bidi w:val="0"/>
              <w:spacing w:line="360" w:lineRule="exact"/>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专兼职工作人员名册（列明姓名、年龄、学历、职责分工、专兼职等）及人员相关复印件（1分）</w:t>
            </w:r>
          </w:p>
          <w:p>
            <w:pPr>
              <w:keepNext w:val="0"/>
              <w:keepLines w:val="0"/>
              <w:pageBreakBefore w:val="0"/>
              <w:widowControl/>
              <w:numPr>
                <w:ilvl w:val="0"/>
                <w:numId w:val="5"/>
              </w:numPr>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负责人1名，至少1名专职管理人员，至少有1名考场维护专职人员负责考场硬件设施、网络等正常运行。（1分）</w:t>
            </w:r>
          </w:p>
          <w:p>
            <w:pPr>
              <w:keepNext w:val="0"/>
              <w:keepLines w:val="0"/>
              <w:pageBreakBefore w:val="0"/>
              <w:widowControl/>
              <w:numPr>
                <w:ilvl w:val="0"/>
                <w:numId w:val="5"/>
              </w:numPr>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9"/>
                <w:sz w:val="24"/>
                <w:szCs w:val="24"/>
                <w:highlight w:val="none"/>
              </w:rPr>
              <w:t>现场提问</w:t>
            </w:r>
            <w:r>
              <w:rPr>
                <w:rFonts w:hint="eastAsia" w:ascii="仿宋_GB2312" w:hAnsi="仿宋_GB2312" w:eastAsia="仿宋_GB2312" w:cs="仿宋_GB2312"/>
                <w:b/>
                <w:color w:val="auto"/>
                <w:sz w:val="24"/>
                <w:szCs w:val="24"/>
                <w:highlight w:val="none"/>
              </w:rPr>
              <w:t>考试点负责人对考试点职责、特种作业培训考核及证书管理等政策了解情况（3分）</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6"/>
              </w:numPr>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提供相关书面材料加盖公章</w:t>
            </w:r>
          </w:p>
          <w:p>
            <w:pPr>
              <w:keepNext w:val="0"/>
              <w:keepLines w:val="0"/>
              <w:pageBreakBefore w:val="0"/>
              <w:widowControl/>
              <w:numPr>
                <w:ilvl w:val="0"/>
                <w:numId w:val="6"/>
              </w:numPr>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sz w:val="24"/>
                <w:szCs w:val="24"/>
                <w:highlight w:val="none"/>
              </w:rPr>
              <w:t>考试点负责人对考试点职责、特种作业培训考核及证书管理等政策了解情况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325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1-3</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管理</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制度</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考试实施程序、各类人员工作职责、考试违纪处理规定、回避制度等各种管理制度。</w:t>
            </w:r>
          </w:p>
          <w:p>
            <w:pPr>
              <w:keepNext w:val="0"/>
              <w:keepLines w:val="0"/>
              <w:pageBreakBefore w:val="0"/>
              <w:widowControl/>
              <w:kinsoku/>
              <w:overflowPunct/>
              <w:topLinePunct w:val="0"/>
              <w:autoSpaceDE/>
              <w:autoSpaceDN/>
              <w:bidi w:val="0"/>
              <w:spacing w:line="36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每项缺扣1分。</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全省统一。暂用各地有关文件。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2</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场地基本要求   (35分)</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2-1</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场地使用</w:t>
            </w:r>
            <w:r>
              <w:rPr>
                <w:rFonts w:hint="eastAsia" w:ascii="仿宋_GB2312" w:hAnsi="仿宋_GB2312" w:eastAsia="仿宋_GB2312" w:cs="仿宋_GB2312"/>
                <w:b/>
                <w:bCs/>
                <w:snapToGrid w:val="0"/>
                <w:color w:val="auto"/>
                <w:kern w:val="0"/>
                <w:sz w:val="24"/>
                <w:szCs w:val="24"/>
                <w:highlight w:val="none"/>
              </w:rPr>
              <w:t>★</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snapToGrid w:val="0"/>
                <w:color w:val="auto"/>
                <w:kern w:val="0"/>
                <w:sz w:val="24"/>
                <w:szCs w:val="24"/>
                <w:highlight w:val="none"/>
              </w:rPr>
              <w:t>．场地使用证明文件（产权证明或租赁合同）。</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2．场地布置图，现场照片。</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48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如租赁应有5年以上独立使用权的固定场所的租赁合同；</w:t>
            </w:r>
          </w:p>
          <w:p>
            <w:pPr>
              <w:keepNext w:val="0"/>
              <w:keepLines w:val="0"/>
              <w:pageBreakBefore w:val="0"/>
              <w:widowControl/>
              <w:kinsoku/>
              <w:overflowPunct/>
              <w:topLinePunct w:val="0"/>
              <w:autoSpaceDE/>
              <w:autoSpaceDN/>
              <w:bidi w:val="0"/>
              <w:spacing w:line="360" w:lineRule="exact"/>
              <w:ind w:firstLine="48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采用合作协议方式的，各地须与合作单位签订具有优先使用权限的合作协议并明确费用及违约责任，合作期应在3年以上；</w:t>
            </w:r>
          </w:p>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938"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2-2</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办公场地</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1．办公场所不少于40平方米。</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2．考试场所应当分别设置监考人员、考评人员备考场所和待考人员等候休息场所。</w:t>
            </w:r>
          </w:p>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每项缺或不足扣2～5分。</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工作人员办公场所、考官备考室、考生候考室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2-3</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办公设备</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 xml:space="preserve"> 配备必要的办公设备及辅助设施，包括电脑、打印机、复印机、传真机、电话等。</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 xml:space="preserve">    每项缺或不足扣1分。</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配置清单及现场照片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2-4</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考试公告</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设置公示板，公布考试流程、考场规则、考试科目时间表、考生注意事项等。</w:t>
            </w:r>
          </w:p>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 xml:space="preserve">  每项缺或不足扣1分。</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公示板可用移动式或固定式黑板、白板、LED显示屏等。说明放置位置并附现场相片</w:t>
            </w:r>
          </w:p>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2-5</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考场服务</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设有考生咨询处、考生物品存放处、茶水供应处。</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考试点醒目位置应当悬挂标明考试点名称的标牌。</w:t>
            </w:r>
          </w:p>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 xml:space="preserve">  每缺一处扣5分。</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2-6</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考场电源</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配备备用电源。</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有发电机或双路市自动转换电源，至少要保证电脑室双机备份电脑有30分钟以上的备用供电。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w:t>
            </w:r>
          </w:p>
          <w:p>
            <w:pPr>
              <w:keepNext w:val="0"/>
              <w:keepLines w:val="0"/>
              <w:pageBreakBefore w:val="0"/>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理论考场   (40分)</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3-1</w:t>
            </w:r>
            <w:r>
              <w:rPr>
                <w:rFonts w:hint="eastAsia" w:ascii="仿宋_GB2312" w:hAnsi="仿宋_GB2312" w:eastAsia="仿宋_GB2312" w:cs="仿宋_GB2312"/>
                <w:snapToGrid w:val="0"/>
                <w:color w:val="auto"/>
                <w:kern w:val="0"/>
                <w:sz w:val="24"/>
                <w:szCs w:val="24"/>
                <w:highlight w:val="none"/>
              </w:rPr>
              <w:t>★</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消防安全</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left="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消防安全备案或验收证明文件。</w:t>
            </w:r>
          </w:p>
          <w:p>
            <w:pPr>
              <w:keepNext w:val="0"/>
              <w:keepLines w:val="0"/>
              <w:pageBreakBefore w:val="0"/>
              <w:widowControl/>
              <w:kinsoku/>
              <w:overflowPunct/>
              <w:topLinePunct w:val="0"/>
              <w:autoSpaceDE/>
              <w:autoSpaceDN/>
              <w:bidi w:val="0"/>
              <w:spacing w:line="360" w:lineRule="exact"/>
              <w:ind w:left="0"/>
              <w:jc w:val="left"/>
              <w:rPr>
                <w:rFonts w:hint="eastAsia" w:ascii="仿宋_GB2312" w:hAnsi="仿宋_GB2312" w:eastAsia="仿宋_GB2312" w:cs="仿宋_GB2312"/>
                <w:snapToGrid w:val="0"/>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提供相关照片和消防设施设备配备的具体情况列表或消防备案或验收的证明，并加盖公章。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3-2</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理论考室</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1．符合环境安静、便于管理、整洁、采光、通风好的标准教室（双门）</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2．考试区域可实行封闭式管理</w:t>
            </w:r>
          </w:p>
          <w:p>
            <w:pPr>
              <w:keepNext w:val="0"/>
              <w:keepLines w:val="0"/>
              <w:pageBreakBefore w:val="0"/>
              <w:widowControl/>
              <w:kinsoku/>
              <w:overflowPunct/>
              <w:topLinePunct w:val="0"/>
              <w:autoSpaceDE/>
              <w:autoSpaceDN/>
              <w:bidi w:val="0"/>
              <w:spacing w:line="360" w:lineRule="exact"/>
              <w:ind w:left="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 xml:space="preserve">      每缺一项扣5分。</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53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3-3</w:t>
            </w:r>
            <w:r>
              <w:rPr>
                <w:rFonts w:hint="eastAsia" w:ascii="仿宋_GB2312" w:hAnsi="仿宋_GB2312" w:eastAsia="仿宋_GB2312" w:cs="仿宋_GB2312"/>
                <w:snapToGrid w:val="0"/>
                <w:color w:val="auto"/>
                <w:kern w:val="0"/>
                <w:sz w:val="24"/>
                <w:szCs w:val="24"/>
                <w:highlight w:val="none"/>
              </w:rPr>
              <w:t>★</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考试网络</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 xml:space="preserve">    考场配备不小于10M带宽的互联网网络。</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附现场测试网速相片，加盖公章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313"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3-4</w:t>
            </w:r>
            <w:r>
              <w:rPr>
                <w:rFonts w:hint="eastAsia" w:ascii="仿宋_GB2312" w:hAnsi="仿宋_GB2312" w:eastAsia="仿宋_GB2312" w:cs="仿宋_GB2312"/>
                <w:snapToGrid w:val="0"/>
                <w:color w:val="auto"/>
                <w:kern w:val="0"/>
                <w:sz w:val="24"/>
                <w:szCs w:val="24"/>
                <w:highlight w:val="none"/>
              </w:rPr>
              <w:t>★</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考试电脑</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1.考试用计算机不少于30台，并留有不少于3台备用电脑。</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2.服务器至少有1台。</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3.各考位之间设置有效的间隔设施。</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left="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两台考试机之间用档板隔开，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75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3-5</w:t>
            </w:r>
            <w:r>
              <w:rPr>
                <w:rFonts w:hint="eastAsia" w:ascii="仿宋_GB2312" w:hAnsi="仿宋_GB2312" w:eastAsia="仿宋_GB2312" w:cs="仿宋_GB2312"/>
                <w:snapToGrid w:val="0"/>
                <w:color w:val="auto"/>
                <w:kern w:val="0"/>
                <w:sz w:val="24"/>
                <w:szCs w:val="24"/>
                <w:highlight w:val="none"/>
              </w:rPr>
              <w:t>★</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 xml:space="preserve">  考试环境配置</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1.软件环境配置（考试及监考用计算机、考试服务器）不低于推荐参数。</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2．硬件环境配置（考试服务器、考试及监考用计算机、路由器、交换机、网络环境）不低于推荐参数。</w:t>
            </w: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推荐参数依据粤安监政法〔2014〕18号的基本配置要求，提供清单。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3" w:type="dxa"/>
          <w:cantSplit/>
          <w:trHeight w:val="1292"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b/>
                <w:color w:val="auto"/>
                <w:kern w:val="0"/>
                <w:sz w:val="24"/>
                <w:szCs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3-6</w:t>
            </w: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b/>
                <w:color w:val="auto"/>
                <w:kern w:val="0"/>
                <w:sz w:val="24"/>
                <w:szCs w:val="24"/>
                <w:highlight w:val="none"/>
              </w:rPr>
              <w:t>开展考试情况</w:t>
            </w:r>
          </w:p>
        </w:tc>
        <w:tc>
          <w:tcPr>
            <w:tcW w:w="4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每年开展考试人数；考试组织工作情况</w:t>
            </w:r>
          </w:p>
          <w:p>
            <w:pPr>
              <w:keepNext w:val="0"/>
              <w:keepLines w:val="0"/>
              <w:pageBreakBefore w:val="0"/>
              <w:widowControl/>
              <w:kinsoku/>
              <w:overflowPunct/>
              <w:topLinePunct w:val="0"/>
              <w:autoSpaceDE/>
              <w:autoSpaceDN/>
              <w:bidi w:val="0"/>
              <w:spacing w:line="360" w:lineRule="exact"/>
              <w:ind w:firstLine="240" w:firstLineChars="100"/>
              <w:jc w:val="left"/>
              <w:rPr>
                <w:rFonts w:hint="eastAsia" w:ascii="仿宋_GB2312" w:hAnsi="仿宋_GB2312" w:eastAsia="仿宋_GB2312" w:cs="仿宋_GB2312"/>
                <w:snapToGrid w:val="0"/>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否决项</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rPr>
                <w:rFonts w:hint="eastAsia" w:ascii="仿宋_GB2312" w:hAnsi="仿宋_GB2312" w:eastAsia="仿宋_GB2312" w:cs="仿宋_GB2312"/>
                <w:color w:val="auto"/>
                <w:kern w:val="0"/>
                <w:sz w:val="24"/>
                <w:szCs w:val="24"/>
                <w:highlight w:val="none"/>
              </w:rPr>
            </w:pP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依据考试点职责、考试计划、全国安全培训信息管理平台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3" w:hRule="atLeast"/>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snapToGrid w:val="0"/>
                <w:color w:val="auto"/>
                <w:kern w:val="0"/>
                <w:sz w:val="24"/>
                <w:szCs w:val="24"/>
                <w:highlight w:val="none"/>
              </w:rPr>
              <w:t>检查结果</w:t>
            </w:r>
          </w:p>
        </w:tc>
        <w:tc>
          <w:tcPr>
            <w:tcW w:w="136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360" w:lineRule="exact"/>
              <w:ind w:firstLine="600"/>
              <w:rPr>
                <w:rFonts w:hint="eastAsia" w:ascii="仿宋_GB2312" w:hAnsi="仿宋_GB2312" w:eastAsia="仿宋_GB2312" w:cs="仿宋_GB2312"/>
                <w:b/>
                <w:snapToGrid w:val="0"/>
                <w:color w:val="auto"/>
                <w:kern w:val="0"/>
                <w:sz w:val="24"/>
                <w:szCs w:val="24"/>
                <w:highlight w:val="none"/>
              </w:rPr>
            </w:pPr>
          </w:p>
          <w:p>
            <w:pPr>
              <w:keepNext w:val="0"/>
              <w:keepLines w:val="0"/>
              <w:pageBreakBefore w:val="0"/>
              <w:kinsoku/>
              <w:overflowPunct/>
              <w:topLinePunct w:val="0"/>
              <w:autoSpaceDE/>
              <w:autoSpaceDN/>
              <w:bidi w:val="0"/>
              <w:snapToGrid w:val="0"/>
              <w:spacing w:line="360" w:lineRule="exact"/>
              <w:ind w:firstLine="600"/>
              <w:rPr>
                <w:rFonts w:hint="eastAsia" w:ascii="仿宋_GB2312" w:hAnsi="仿宋_GB2312" w:eastAsia="仿宋_GB2312" w:cs="仿宋_GB2312"/>
                <w:b/>
                <w:snapToGrid w:val="0"/>
                <w:color w:val="auto"/>
                <w:kern w:val="0"/>
                <w:sz w:val="24"/>
                <w:szCs w:val="24"/>
                <w:highlight w:val="none"/>
              </w:rPr>
            </w:pPr>
            <w:r>
              <w:rPr>
                <w:rFonts w:hint="eastAsia" w:ascii="仿宋_GB2312" w:hAnsi="仿宋_GB2312" w:eastAsia="仿宋_GB2312" w:cs="仿宋_GB2312"/>
                <w:b/>
                <w:snapToGrid w:val="0"/>
                <w:color w:val="auto"/>
                <w:kern w:val="0"/>
                <w:sz w:val="24"/>
                <w:szCs w:val="24"/>
                <w:highlight w:val="none"/>
              </w:rPr>
              <w:t>公告安全生产知识考试点（理论考试点）。经检查，总得分为 分。存在问题及整改意见：</w:t>
            </w:r>
          </w:p>
          <w:p>
            <w:pPr>
              <w:keepNext w:val="0"/>
              <w:keepLines w:val="0"/>
              <w:pageBreakBefore w:val="0"/>
              <w:kinsoku/>
              <w:overflowPunct/>
              <w:topLinePunct w:val="0"/>
              <w:autoSpaceDE/>
              <w:autoSpaceDN/>
              <w:bidi w:val="0"/>
              <w:snapToGrid w:val="0"/>
              <w:spacing w:line="360" w:lineRule="exact"/>
              <w:ind w:firstLine="600"/>
              <w:rPr>
                <w:rFonts w:hint="eastAsia" w:ascii="仿宋_GB2312" w:hAnsi="仿宋_GB2312" w:eastAsia="仿宋_GB2312" w:cs="仿宋_GB2312"/>
                <w:b/>
                <w:snapToGrid w:val="0"/>
                <w:color w:val="auto"/>
                <w:kern w:val="0"/>
                <w:sz w:val="24"/>
                <w:szCs w:val="24"/>
                <w:highlight w:val="none"/>
              </w:rPr>
            </w:pPr>
          </w:p>
          <w:p>
            <w:pPr>
              <w:keepNext w:val="0"/>
              <w:keepLines w:val="0"/>
              <w:pageBreakBefore w:val="0"/>
              <w:kinsoku/>
              <w:overflowPunct/>
              <w:topLinePunct w:val="0"/>
              <w:autoSpaceDE/>
              <w:autoSpaceDN/>
              <w:bidi w:val="0"/>
              <w:snapToGrid w:val="0"/>
              <w:spacing w:line="360" w:lineRule="exact"/>
              <w:ind w:firstLine="600"/>
              <w:rPr>
                <w:rFonts w:hint="eastAsia" w:ascii="仿宋_GB2312" w:hAnsi="仿宋_GB2312" w:eastAsia="仿宋_GB2312" w:cs="仿宋_GB2312"/>
                <w:b/>
                <w:snapToGrid w:val="0"/>
                <w:color w:val="auto"/>
                <w:kern w:val="0"/>
                <w:sz w:val="24"/>
                <w:szCs w:val="24"/>
                <w:highlight w:val="none"/>
              </w:rPr>
            </w:pPr>
          </w:p>
          <w:p>
            <w:pPr>
              <w:keepNext w:val="0"/>
              <w:keepLines w:val="0"/>
              <w:pageBreakBefore w:val="0"/>
              <w:kinsoku/>
              <w:overflowPunct/>
              <w:topLinePunct w:val="0"/>
              <w:autoSpaceDE/>
              <w:autoSpaceDN/>
              <w:bidi w:val="0"/>
              <w:snapToGrid w:val="0"/>
              <w:spacing w:line="360" w:lineRule="exact"/>
              <w:ind w:firstLine="600"/>
              <w:rPr>
                <w:rFonts w:hint="eastAsia" w:ascii="仿宋_GB2312" w:hAnsi="仿宋_GB2312" w:eastAsia="仿宋_GB2312" w:cs="仿宋_GB2312"/>
                <w:b/>
                <w:snapToGrid w:val="0"/>
                <w:color w:val="auto"/>
                <w:kern w:val="0"/>
                <w:sz w:val="24"/>
                <w:szCs w:val="24"/>
                <w:highlight w:val="none"/>
              </w:rPr>
            </w:pPr>
          </w:p>
          <w:p>
            <w:pPr>
              <w:keepNext w:val="0"/>
              <w:keepLines w:val="0"/>
              <w:pageBreakBefore w:val="0"/>
              <w:kinsoku/>
              <w:overflowPunct/>
              <w:topLinePunct w:val="0"/>
              <w:autoSpaceDE/>
              <w:autoSpaceDN/>
              <w:bidi w:val="0"/>
              <w:snapToGrid w:val="0"/>
              <w:spacing w:line="360" w:lineRule="exact"/>
              <w:ind w:firstLine="600"/>
              <w:rPr>
                <w:rFonts w:hint="eastAsia" w:ascii="仿宋_GB2312" w:hAnsi="仿宋_GB2312" w:eastAsia="仿宋_GB2312" w:cs="仿宋_GB2312"/>
                <w:snapToGrid w:val="0"/>
                <w:color w:val="auto"/>
                <w:kern w:val="0"/>
                <w:sz w:val="24"/>
                <w:szCs w:val="24"/>
                <w:highlight w:val="none"/>
                <w:u w:val="single"/>
              </w:rPr>
            </w:pPr>
          </w:p>
          <w:p>
            <w:pPr>
              <w:keepNext w:val="0"/>
              <w:keepLines w:val="0"/>
              <w:pageBreakBefore w:val="0"/>
              <w:kinsoku/>
              <w:overflowPunct/>
              <w:topLinePunct w:val="0"/>
              <w:autoSpaceDE/>
              <w:autoSpaceDN/>
              <w:bidi w:val="0"/>
              <w:spacing w:line="360" w:lineRule="exact"/>
              <w:ind w:firstLine="843" w:firstLineChars="350"/>
              <w:rPr>
                <w:rFonts w:hint="eastAsia" w:ascii="仿宋_GB2312" w:hAnsi="仿宋_GB2312" w:eastAsia="仿宋_GB2312" w:cs="仿宋_GB2312"/>
                <w:b/>
                <w:snapToGrid w:val="0"/>
                <w:color w:val="auto"/>
                <w:kern w:val="0"/>
                <w:sz w:val="24"/>
                <w:szCs w:val="24"/>
                <w:highlight w:val="none"/>
              </w:rPr>
            </w:pPr>
            <w:r>
              <w:rPr>
                <w:rFonts w:hint="eastAsia" w:ascii="仿宋_GB2312" w:hAnsi="仿宋_GB2312" w:eastAsia="仿宋_GB2312" w:cs="仿宋_GB2312"/>
                <w:b/>
                <w:snapToGrid w:val="0"/>
                <w:color w:val="auto"/>
                <w:kern w:val="0"/>
                <w:sz w:val="24"/>
                <w:szCs w:val="24"/>
                <w:highlight w:val="none"/>
              </w:rPr>
              <w:t>检查组成员（签字）：</w:t>
            </w:r>
          </w:p>
          <w:p>
            <w:pPr>
              <w:keepNext w:val="0"/>
              <w:keepLines w:val="0"/>
              <w:pageBreakBefore w:val="0"/>
              <w:kinsoku/>
              <w:overflowPunct/>
              <w:topLinePunct w:val="0"/>
              <w:autoSpaceDE/>
              <w:autoSpaceDN/>
              <w:bidi w:val="0"/>
              <w:spacing w:line="360" w:lineRule="exact"/>
              <w:ind w:firstLine="843" w:firstLineChars="350"/>
              <w:rPr>
                <w:rFonts w:hint="eastAsia" w:ascii="仿宋_GB2312" w:hAnsi="仿宋_GB2312" w:eastAsia="仿宋_GB2312" w:cs="仿宋_GB2312"/>
                <w:b/>
                <w:snapToGrid w:val="0"/>
                <w:color w:val="auto"/>
                <w:kern w:val="0"/>
                <w:sz w:val="24"/>
                <w:szCs w:val="24"/>
                <w:highlight w:val="none"/>
              </w:rPr>
            </w:pPr>
          </w:p>
        </w:tc>
      </w:tr>
    </w:tbl>
    <w:p>
      <w:pPr>
        <w:keepNext w:val="0"/>
        <w:keepLines w:val="0"/>
        <w:pageBreakBefore w:val="0"/>
        <w:widowControl/>
        <w:kinsoku/>
        <w:wordWrap w:val="0"/>
        <w:overflowPunct/>
        <w:topLinePunct w:val="0"/>
        <w:autoSpaceDE/>
        <w:autoSpaceDN/>
        <w:bidi w:val="0"/>
        <w:snapToGrid w:val="0"/>
        <w:spacing w:line="600" w:lineRule="exact"/>
        <w:jc w:val="left"/>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注：满分100分，80分以上的为验收合格。若必备项严重欠缺，则不论总分多少一律评为不合格；没有某一项目严重欠缺，则总得分在80分及以上为合格，</w:t>
      </w:r>
    </w:p>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rPr>
        <w:sectPr>
          <w:footerReference r:id="rId5" w:type="default"/>
          <w:pgSz w:w="16838" w:h="11906" w:orient="landscape"/>
          <w:pgMar w:top="1077" w:right="1588" w:bottom="1077" w:left="1588" w:header="851" w:footer="992" w:gutter="0"/>
          <w:cols w:space="0" w:num="1"/>
          <w:docGrid w:type="lines" w:linePitch="317" w:charSpace="0"/>
        </w:sectPr>
      </w:pPr>
    </w:p>
    <w:p>
      <w:pPr>
        <w:keepNext w:val="0"/>
        <w:keepLines w:val="0"/>
        <w:pageBreakBefore w:val="0"/>
        <w:kinsoku/>
        <w:overflowPunct/>
        <w:topLinePunct w:val="0"/>
        <w:autoSpaceDE/>
        <w:autoSpaceDN/>
        <w:bidi w:val="0"/>
        <w:spacing w:line="60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rPr>
        <w:t>附件</w:t>
      </w:r>
      <w:r>
        <w:rPr>
          <w:rFonts w:hint="eastAsia" w:ascii="仿宋" w:hAnsi="仿宋" w:eastAsia="仿宋" w:cs="仿宋"/>
          <w:b w:val="0"/>
          <w:bCs/>
          <w:color w:val="auto"/>
          <w:sz w:val="32"/>
          <w:szCs w:val="32"/>
          <w:highlight w:val="none"/>
          <w:lang w:val="en-US" w:eastAsia="zh-CN"/>
        </w:rPr>
        <w:t>5</w:t>
      </w:r>
    </w:p>
    <w:p>
      <w:pPr>
        <w:keepNext w:val="0"/>
        <w:keepLines w:val="0"/>
        <w:pageBreakBefore w:val="0"/>
        <w:kinsoku/>
        <w:overflowPunct/>
        <w:topLinePunct w:val="0"/>
        <w:autoSpaceDE/>
        <w:autoSpaceDN/>
        <w:bidi w:val="0"/>
        <w:spacing w:line="6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广州市特种作业实操考试点检查表</w:t>
      </w: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考试点：                                                          检查日期：</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1016"/>
        <w:gridCol w:w="4040"/>
        <w:gridCol w:w="536"/>
        <w:gridCol w:w="3824"/>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检查项目</w:t>
            </w: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检查内容</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评分标准（带★的为必备项）</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配分</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   注</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9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1组织管理（21分）</w:t>
            </w: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机构</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管理</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1．法人证书。（3分）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2．机构情况。（2分）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3．考试办公室设置及其人员任命文件。（2分）        </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提供证书复印件。提供书面文件需加盖公章。机构情况包括包括单位基本简介、经费来源、固定资产、场地产权、规模、地理位置、交通、联系部门、联系电话。</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人员</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配置</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pacing w:val="-9"/>
                <w:sz w:val="32"/>
                <w:szCs w:val="32"/>
                <w:highlight w:val="none"/>
              </w:rPr>
            </w:pPr>
            <w:r>
              <w:rPr>
                <w:rFonts w:hint="eastAsia" w:ascii="仿宋" w:hAnsi="仿宋" w:eastAsia="仿宋" w:cs="仿宋"/>
                <w:color w:val="auto"/>
                <w:spacing w:val="-9"/>
                <w:sz w:val="32"/>
                <w:szCs w:val="32"/>
                <w:highlight w:val="none"/>
              </w:rPr>
              <w:t>1．专兼职工作人员名册（列明姓名、年龄、学历、职责分工、专兼职等）（1分）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pacing w:val="-9"/>
                <w:sz w:val="32"/>
                <w:szCs w:val="32"/>
                <w:highlight w:val="none"/>
              </w:rPr>
            </w:pPr>
            <w:r>
              <w:rPr>
                <w:rFonts w:hint="eastAsia" w:ascii="仿宋" w:hAnsi="仿宋" w:eastAsia="仿宋" w:cs="仿宋"/>
                <w:color w:val="auto"/>
                <w:spacing w:val="-9"/>
                <w:sz w:val="32"/>
                <w:szCs w:val="32"/>
                <w:highlight w:val="none"/>
              </w:rPr>
              <w:t>2．至少6名专职管理人员包括负责人1名、考场管理人员至少1名，考务工作人员至少2名，实操考场设备维护管理人员至少1名，财务管理人员1名（2分）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pacing w:val="-9"/>
                <w:sz w:val="32"/>
                <w:szCs w:val="32"/>
                <w:highlight w:val="none"/>
              </w:rPr>
            </w:pPr>
            <w:r>
              <w:rPr>
                <w:rFonts w:hint="eastAsia" w:ascii="仿宋" w:hAnsi="仿宋" w:eastAsia="仿宋" w:cs="仿宋"/>
                <w:color w:val="auto"/>
                <w:spacing w:val="-9"/>
                <w:sz w:val="32"/>
                <w:szCs w:val="32"/>
                <w:highlight w:val="none"/>
              </w:rPr>
              <w:t>3.现场提问</w:t>
            </w:r>
            <w:r>
              <w:rPr>
                <w:rFonts w:hint="eastAsia" w:ascii="仿宋" w:hAnsi="仿宋" w:eastAsia="仿宋" w:cs="仿宋"/>
                <w:b/>
                <w:color w:val="auto"/>
                <w:sz w:val="32"/>
                <w:szCs w:val="32"/>
                <w:highlight w:val="none"/>
              </w:rPr>
              <w:t>考试点负责人对考试点职责、特种作业培训考核及证书管理等政策了解情况（3分）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7"/>
              </w:numPr>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提供证书复印件。专职管理人员需有社保证明；提供考评人员协议。</w:t>
            </w:r>
          </w:p>
          <w:p>
            <w:pPr>
              <w:keepNext w:val="0"/>
              <w:keepLines w:val="0"/>
              <w:pageBreakBefore w:val="0"/>
              <w:widowControl/>
              <w:numPr>
                <w:ilvl w:val="0"/>
                <w:numId w:val="7"/>
              </w:numPr>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★人员变更文件</w:t>
            </w:r>
          </w:p>
          <w:p>
            <w:pPr>
              <w:keepNext w:val="0"/>
              <w:keepLines w:val="0"/>
              <w:pageBreakBefore w:val="0"/>
              <w:widowControl/>
              <w:kinsoku/>
              <w:overflowPunct/>
              <w:topLinePunct w:val="0"/>
              <w:autoSpaceDE/>
              <w:autoSpaceDN/>
              <w:bidi w:val="0"/>
              <w:spacing w:line="600" w:lineRule="exact"/>
              <w:ind w:left="0"/>
              <w:jc w:val="left"/>
              <w:rPr>
                <w:rFonts w:hint="eastAsia" w:ascii="仿宋" w:hAnsi="仿宋" w:eastAsia="仿宋" w:cs="仿宋"/>
                <w:color w:val="auto"/>
                <w:sz w:val="32"/>
                <w:szCs w:val="32"/>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管理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制度</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21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岗位职责、档案管理制度、各种设备安全操作注意事项、安全保卫制度、财务管理制度、设备设施管理制度、考场应急预案、内部考务人员培训制度。每项缺或不足扣1分。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提供书面制度。</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2场地基本要求  (48分)</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场地使用</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1．场地使用证明文件（产权证明或租赁合同）。</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场地使用证明文件不符合要求，为“0”分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2．场地布置图及现场照片。每缺或不足扣5分。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如租赁应有5年以上独立使用权的固定场所的租赁合同；</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采用合作协议方式的，各地须与合作单位签订具有优先使用权限的合作协议并明确费用及违约责任，合作期应在3年以上。</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场地布置图标明办公场地、咨询处、候考室、实操考室、考务人员备考室等考场服务信息；场地布置图设置在醒目位置。</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办公场地</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1．办公场所不少于40</w:t>
            </w:r>
            <w:r>
              <w:rPr>
                <w:rFonts w:hint="eastAsia" w:ascii="仿宋" w:hAnsi="仿宋" w:eastAsia="仿宋" w:cs="仿宋"/>
                <w:color w:val="auto"/>
                <w:kern w:val="0"/>
                <w:sz w:val="32"/>
                <w:szCs w:val="32"/>
                <w:highlight w:val="none"/>
              </w:rPr>
              <w:t xml:space="preserve"> m</w:t>
            </w:r>
            <w:r>
              <w:rPr>
                <w:rFonts w:hint="eastAsia" w:ascii="仿宋" w:hAnsi="仿宋" w:eastAsia="仿宋" w:cs="仿宋"/>
                <w:color w:val="auto"/>
                <w:kern w:val="0"/>
                <w:sz w:val="32"/>
                <w:szCs w:val="32"/>
                <w:highlight w:val="none"/>
                <w:vertAlign w:val="superscript"/>
              </w:rPr>
              <w:t>2</w:t>
            </w:r>
            <w:r>
              <w:rPr>
                <w:rFonts w:hint="eastAsia" w:ascii="仿宋" w:hAnsi="仿宋" w:eastAsia="仿宋" w:cs="仿宋"/>
                <w:color w:val="auto"/>
                <w:sz w:val="32"/>
                <w:szCs w:val="32"/>
                <w:highlight w:val="none"/>
              </w:rPr>
              <w:t>。</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2．考试场所应当分别设置考试点办公室、考务人员备考室。</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3．配备档案柜、保密柜。</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以上每项缺或不足扣2～6分。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kern w:val="0"/>
                <w:sz w:val="32"/>
                <w:szCs w:val="32"/>
                <w:highlight w:val="none"/>
              </w:rPr>
              <w:t>考试点管理制度以及监考人员和考评人员工作职责、考场规则等考务管理制度在备考室上墙。</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以上每项缺0.5分。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提供现场照片。</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2"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办公设备</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配备必要的办公设备及辅助设施，包括电脑、打印机、复印机、传真机、电话等。（每缺一项扣1分。）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提供办公设备设施清单及现场照片。</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考试公告</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设置公示板，公布考场规则、考试科目时间表、考生须知等。</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每项缺或不足扣1分。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公示板可用移动式或固定式黑板、白板、LED显示屏等。设置在醒目位置，并附现场相片。</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2-5</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考场服务</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1.设有考生咨询处、考生物品存放处、茶水供应处和考生候考室。（5分）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2.考试点醒目位置应当悬挂标明考试点名称的标牌。（2分）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★3.在考生候考室粘贴考场规则、考试科目时间表、考生须知、设备安全操作注意事项和紧急疏散路线图等。（5分，每缺一项扣1分。）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提供现场照片。考试点名称的标牌设置在醒目位置。</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2"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2-6</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考场电源</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有固定电源及停电方案。</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每缺一项扣5分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非临时用电证明（电费单）、应急照明灯以及停电应急方案。</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atLeast"/>
          <w:jc w:val="center"/>
        </w:trPr>
        <w:tc>
          <w:tcPr>
            <w:tcW w:w="9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实操考场  (31分)</w:t>
            </w: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消防安全</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消防安全备案或验收证明文件。（10分）</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无有效证明文件为“0”</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提供相关照片。提供消防设施设备配备的具体情况列表或消防备案或验收的证明，并加盖公章。</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实操考室</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1．符合环境安静、便于管理、整洁、采光、通风好的场所（有可符合消防疏散要求的双门）。</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2．考试区域可实行封闭式管理。</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3.粘贴有关安全标志、警示标语。</w:t>
            </w:r>
          </w:p>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每缺一项扣5分。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提供实操考室平面图、现场照片。</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w:t>
            </w:r>
          </w:p>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考试验证</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在考场入口处设置1~2台身份证读卡器或者其他身份识别设备，供核对考生身份使用。</w:t>
            </w:r>
          </w:p>
          <w:p>
            <w:pPr>
              <w:keepNext w:val="0"/>
              <w:keepLines w:val="0"/>
              <w:pageBreakBefore w:val="0"/>
              <w:widowControl/>
              <w:kinsoku/>
              <w:overflowPunct/>
              <w:topLinePunct w:val="0"/>
              <w:autoSpaceDE/>
              <w:autoSpaceDN/>
              <w:bidi w:val="0"/>
              <w:spacing w:line="6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不符合要求扣6分。</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1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lef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附验证设备清单。建议在每个考试科目考场入口设置1台身份证读卡，便于与信息化管理系统对接。</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left="0"/>
              <w:jc w:val="lef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9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★考试监控、设备、档案</w:t>
            </w: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考试监控</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按照文件要求部署视频远程联网监控系统，实现“全覆盖、无死角”现场录音录像，同时接入省局监控平台。</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否决项</w:t>
            </w:r>
          </w:p>
        </w:tc>
        <w:tc>
          <w:tcPr>
            <w:tcW w:w="205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省考试机构通过省监控平台测试；同时提供监控设备清单。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考试设备设施</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满足设备设施配置要求，见《各专业部分验收评审表》（设备仪器、材料缺失或整体损坏是否影响考试）</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否决项</w:t>
            </w:r>
          </w:p>
        </w:tc>
        <w:tc>
          <w:tcPr>
            <w:tcW w:w="205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600" w:lineRule="exact"/>
              <w:ind w:firstLine="160" w:firstLineChars="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提供设备设施清单。（粤安监政法〔2016〕8号）广东省安全生产监督管理局特种作业实际操作考试点建设要求和验收评审表（试行）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考试档案</w:t>
            </w:r>
          </w:p>
        </w:tc>
        <w:tc>
          <w:tcPr>
            <w:tcW w:w="1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ind w:firstLine="320" w:firstLineChars="1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★考试录像录音资料</w:t>
            </w:r>
          </w:p>
        </w:tc>
        <w:tc>
          <w:tcPr>
            <w:tcW w:w="1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否决项</w:t>
            </w:r>
          </w:p>
        </w:tc>
        <w:tc>
          <w:tcPr>
            <w:tcW w:w="205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600" w:lineRule="exact"/>
              <w:ind w:firstLine="160" w:firstLineChars="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备份、保存期不少于3年（《安全生产资格考试档案管理办法》（粤应急【2020】75号）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检查结果</w:t>
            </w:r>
          </w:p>
        </w:tc>
        <w:tc>
          <w:tcPr>
            <w:tcW w:w="4000"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600" w:lineRule="exac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napToGrid w:val="0"/>
              <w:spacing w:line="600" w:lineRule="exact"/>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公告（特种作业操作项目名称）考试点。经检查，总得分为           分。</w:t>
            </w:r>
            <w:r>
              <w:rPr>
                <w:rFonts w:hint="eastAsia" w:ascii="仿宋" w:hAnsi="仿宋" w:eastAsia="仿宋" w:cs="仿宋"/>
                <w:color w:val="auto"/>
                <w:sz w:val="32"/>
                <w:szCs w:val="32"/>
                <w:highlight w:val="none"/>
              </w:rPr>
              <w:t>存在问题及整改意见：</w:t>
            </w:r>
          </w:p>
          <w:p>
            <w:pPr>
              <w:keepNext w:val="0"/>
              <w:keepLines w:val="0"/>
              <w:pageBreakBefore w:val="0"/>
              <w:kinsoku/>
              <w:overflowPunct/>
              <w:topLinePunct w:val="0"/>
              <w:autoSpaceDE/>
              <w:autoSpaceDN/>
              <w:bidi w:val="0"/>
              <w:snapToGrid w:val="0"/>
              <w:spacing w:line="600" w:lineRule="exact"/>
              <w:ind w:firstLine="640" w:firstLineChars="200"/>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napToGrid w:val="0"/>
              <w:spacing w:line="600" w:lineRule="exact"/>
              <w:ind w:firstLine="640" w:firstLineChars="200"/>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napToGrid w:val="0"/>
              <w:spacing w:line="600" w:lineRule="exact"/>
              <w:ind w:firstLine="640" w:firstLineChars="200"/>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napToGrid w:val="0"/>
              <w:spacing w:line="600" w:lineRule="exact"/>
              <w:ind w:firstLine="640" w:firstLineChars="200"/>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napToGrid w:val="0"/>
              <w:spacing w:line="600" w:lineRule="exact"/>
              <w:ind w:firstLine="640" w:firstLineChars="200"/>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检查组成员（签字）：</w:t>
            </w:r>
          </w:p>
          <w:p>
            <w:pPr>
              <w:keepNext w:val="0"/>
              <w:keepLines w:val="0"/>
              <w:pageBreakBefore w:val="0"/>
              <w:kinsoku/>
              <w:overflowPunct/>
              <w:topLinePunct w:val="0"/>
              <w:autoSpaceDE/>
              <w:autoSpaceDN/>
              <w:bidi w:val="0"/>
              <w:spacing w:line="600" w:lineRule="exact"/>
              <w:ind w:firstLine="1120" w:firstLineChars="350"/>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1120" w:firstLineChars="350"/>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ind w:firstLine="1120" w:firstLineChars="350"/>
              <w:rPr>
                <w:rFonts w:hint="eastAsia" w:ascii="仿宋" w:hAnsi="仿宋" w:eastAsia="仿宋" w:cs="仿宋"/>
                <w:color w:val="auto"/>
                <w:sz w:val="32"/>
                <w:szCs w:val="32"/>
                <w:highlight w:val="none"/>
              </w:rPr>
            </w:pPr>
          </w:p>
        </w:tc>
      </w:tr>
    </w:tbl>
    <w:p>
      <w:pPr>
        <w:keepNext w:val="0"/>
        <w:keepLines w:val="0"/>
        <w:pageBreakBefore w:val="0"/>
        <w:kinsoku/>
        <w:overflowPunct/>
        <w:topLinePunct w:val="0"/>
        <w:autoSpaceDE/>
        <w:autoSpaceDN/>
        <w:bidi w:val="0"/>
        <w:spacing w:line="600" w:lineRule="exact"/>
        <w:jc w:val="lef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备注：依据《广东省安全生产监督管理局特种作业实际操作考试点建设要求和验收评审表（试行）》（粤安监政法〔2016〕8号）核查保持情况。</w:t>
      </w:r>
    </w:p>
    <w:p>
      <w:pPr>
        <w:keepNext w:val="0"/>
        <w:keepLines w:val="0"/>
        <w:pageBreakBefore w:val="0"/>
        <w:kinsoku/>
        <w:overflowPunct/>
        <w:topLinePunct w:val="0"/>
        <w:autoSpaceDE/>
        <w:autoSpaceDN/>
        <w:bidi w:val="0"/>
        <w:spacing w:line="600" w:lineRule="exact"/>
        <w:jc w:val="center"/>
        <w:rPr>
          <w:rFonts w:hint="eastAsia" w:ascii="仿宋" w:hAnsi="仿宋" w:eastAsia="仿宋" w:cs="仿宋"/>
          <w:b/>
          <w:color w:val="auto"/>
          <w:sz w:val="32"/>
          <w:szCs w:val="32"/>
          <w:highlight w:val="none"/>
        </w:rPr>
        <w:sectPr>
          <w:pgSz w:w="16838" w:h="11906" w:orient="landscape"/>
          <w:pgMar w:top="1531" w:right="1588" w:bottom="1474" w:left="1588" w:header="851" w:footer="992" w:gutter="0"/>
          <w:cols w:space="720" w:num="1"/>
          <w:docGrid w:type="lines" w:linePitch="312" w:charSpace="0"/>
        </w:sectPr>
      </w:pPr>
    </w:p>
    <w:p>
      <w:pPr>
        <w:keepNext w:val="0"/>
        <w:keepLines w:val="0"/>
        <w:pageBreakBefore w:val="0"/>
        <w:kinsoku/>
        <w:overflowPunct/>
        <w:topLinePunct w:val="0"/>
        <w:autoSpaceDE/>
        <w:autoSpaceDN/>
        <w:bidi w:val="0"/>
        <w:adjustRightInd w:val="0"/>
        <w:snapToGrid w:val="0"/>
        <w:spacing w:line="60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附件6</w:t>
      </w:r>
    </w:p>
    <w:p>
      <w:pPr>
        <w:keepNext w:val="0"/>
        <w:keepLines w:val="0"/>
        <w:pageBreakBefore w:val="0"/>
        <w:kinsoku/>
        <w:overflowPunct/>
        <w:topLinePunct w:val="0"/>
        <w:autoSpaceDE/>
        <w:autoSpaceDN/>
        <w:bidi w:val="0"/>
        <w:adjustRightInd w:val="0"/>
        <w:snapToGrid w:val="0"/>
        <w:spacing w:line="600" w:lineRule="exact"/>
        <w:jc w:val="center"/>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 xml:space="preserve">  广州市特种作业实操考评系统硬件配置要求清单</w:t>
      </w:r>
    </w:p>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rPr>
      </w:pP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8"/>
        <w:gridCol w:w="987"/>
        <w:gridCol w:w="1335"/>
        <w:gridCol w:w="4615"/>
        <w:gridCol w:w="639"/>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8"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beforeLines="80" w:afterLines="80" w:line="600" w:lineRule="exact"/>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序号</w:t>
            </w:r>
          </w:p>
        </w:tc>
        <w:tc>
          <w:tcPr>
            <w:tcW w:w="987"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beforeLines="80" w:afterLines="80" w:line="600" w:lineRule="exact"/>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名称</w:t>
            </w:r>
          </w:p>
        </w:tc>
        <w:tc>
          <w:tcPr>
            <w:tcW w:w="5950" w:type="dxa"/>
            <w:gridSpan w:val="2"/>
            <w:shd w:val="clear" w:color="auto" w:fill="auto"/>
            <w:vAlign w:val="center"/>
          </w:tcPr>
          <w:p>
            <w:pPr>
              <w:keepNext w:val="0"/>
              <w:keepLines w:val="0"/>
              <w:pageBreakBefore w:val="0"/>
              <w:widowControl/>
              <w:kinsoku/>
              <w:overflowPunct/>
              <w:topLinePunct w:val="0"/>
              <w:autoSpaceDE/>
              <w:autoSpaceDN/>
              <w:bidi w:val="0"/>
              <w:adjustRightInd w:val="0"/>
              <w:snapToGrid w:val="0"/>
              <w:spacing w:beforeLines="80" w:afterLines="80" w:line="600" w:lineRule="exact"/>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配置参数（红色字体为主要参数，其他均属参考）</w:t>
            </w:r>
          </w:p>
        </w:tc>
        <w:tc>
          <w:tcPr>
            <w:tcW w:w="639"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beforeLines="80" w:afterLines="80" w:line="600" w:lineRule="exact"/>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单位</w:t>
            </w:r>
          </w:p>
        </w:tc>
        <w:tc>
          <w:tcPr>
            <w:tcW w:w="666"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beforeLines="80" w:afterLines="80" w:line="600" w:lineRule="exact"/>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1</w:t>
            </w:r>
          </w:p>
        </w:tc>
        <w:tc>
          <w:tcPr>
            <w:tcW w:w="987"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电脑</w:t>
            </w: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7"/>
                <w:rFonts w:hint="eastAsia"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rPr>
              <w:t>CPU</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Fonts w:hint="eastAsia" w:ascii="仿宋" w:hAnsi="仿宋" w:eastAsia="仿宋" w:cs="仿宋"/>
                <w:bCs/>
                <w:color w:val="auto"/>
                <w:kern w:val="0"/>
                <w:sz w:val="32"/>
                <w:szCs w:val="32"/>
                <w:highlight w:val="none"/>
              </w:rPr>
              <w:t>Intel 酷睿 i3以上 2.50GHz以上</w:t>
            </w:r>
          </w:p>
        </w:tc>
        <w:tc>
          <w:tcPr>
            <w:tcW w:w="639"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台</w:t>
            </w:r>
          </w:p>
        </w:tc>
        <w:tc>
          <w:tcPr>
            <w:tcW w:w="666"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主板</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Intel Q45芯片组及以上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Fonts w:hint="eastAsia" w:ascii="仿宋" w:hAnsi="仿宋" w:eastAsia="仿宋" w:cs="仿宋"/>
                <w:bCs/>
                <w:color w:val="auto"/>
                <w:kern w:val="0"/>
                <w:sz w:val="32"/>
                <w:szCs w:val="32"/>
                <w:highlight w:val="none"/>
              </w:rPr>
              <w:t>内存</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Fonts w:hint="eastAsia" w:ascii="仿宋" w:hAnsi="仿宋" w:eastAsia="仿宋" w:cs="仿宋"/>
                <w:bCs/>
                <w:color w:val="auto"/>
                <w:kern w:val="0"/>
                <w:sz w:val="32"/>
                <w:szCs w:val="32"/>
                <w:highlight w:val="none"/>
              </w:rPr>
              <w:t>4G或以上，工作频率≥1600MHZ</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显卡</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主板集成显卡，显存</w:t>
            </w:r>
            <w:r>
              <w:rPr>
                <w:rFonts w:hint="eastAsia" w:ascii="仿宋" w:hAnsi="仿宋" w:eastAsia="仿宋" w:cs="仿宋"/>
                <w:bCs/>
                <w:color w:val="auto"/>
                <w:kern w:val="0"/>
                <w:sz w:val="32"/>
                <w:szCs w:val="32"/>
                <w:highlight w:val="none"/>
              </w:rPr>
              <w:t>≥2G</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显示器</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19寸宽屏液晶，分辨率</w:t>
            </w:r>
            <w:r>
              <w:rPr>
                <w:rFonts w:hint="eastAsia" w:ascii="仿宋" w:hAnsi="仿宋" w:eastAsia="仿宋" w:cs="仿宋"/>
                <w:bCs/>
                <w:color w:val="auto"/>
                <w:kern w:val="0"/>
                <w:sz w:val="32"/>
                <w:szCs w:val="32"/>
                <w:highlight w:val="none"/>
              </w:rPr>
              <w:t>≥1360*768</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声卡</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主板集成声卡</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硬盘</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500G或以上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网卡</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主板集成100M或1000M以太网卡</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7"/>
                <w:rFonts w:ascii="仿宋" w:hAnsi="仿宋" w:eastAsia="仿宋" w:cs="仿宋"/>
                <w:b w:val="0"/>
                <w:bCs/>
                <w:color w:val="auto"/>
                <w:sz w:val="32"/>
                <w:szCs w:val="32"/>
                <w:highlight w:val="none"/>
              </w:rPr>
              <w:t>接口</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7"/>
                <w:rFonts w:ascii="仿宋" w:hAnsi="仿宋" w:eastAsia="仿宋" w:cs="仿宋"/>
                <w:b w:val="0"/>
                <w:bCs/>
                <w:color w:val="auto"/>
                <w:sz w:val="32"/>
                <w:szCs w:val="32"/>
                <w:highlight w:val="none"/>
              </w:rPr>
              <w:t>高清视频接口；VGA接口</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机箱</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8"/>
                <w:rFonts w:hint="eastAsia" w:ascii="仿宋" w:hAnsi="仿宋" w:eastAsia="仿宋" w:cs="仿宋"/>
                <w:bCs/>
                <w:color w:val="auto"/>
                <w:sz w:val="32"/>
                <w:szCs w:val="32"/>
                <w:highlight w:val="none"/>
              </w:rPr>
              <w:t>塔式，机箱前面板至少提供2个USB2.0接口</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
                <w:color w:val="auto"/>
                <w:kern w:val="0"/>
                <w:sz w:val="32"/>
                <w:szCs w:val="32"/>
                <w:highlight w:val="none"/>
              </w:rPr>
            </w:pPr>
            <w:r>
              <w:rPr>
                <w:rStyle w:val="17"/>
                <w:rFonts w:ascii="仿宋" w:hAnsi="仿宋" w:eastAsia="仿宋" w:cs="仿宋"/>
                <w:b w:val="0"/>
                <w:bCs/>
                <w:color w:val="auto"/>
                <w:sz w:val="32"/>
                <w:szCs w:val="32"/>
                <w:highlight w:val="none"/>
              </w:rPr>
              <w:t>操作系统</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7"/>
                <w:rFonts w:ascii="仿宋" w:hAnsi="仿宋" w:eastAsia="仿宋" w:cs="仿宋"/>
                <w:b w:val="0"/>
                <w:bCs/>
                <w:color w:val="auto"/>
                <w:sz w:val="32"/>
                <w:szCs w:val="32"/>
                <w:highlight w:val="none"/>
              </w:rPr>
              <w:t>Windowns 7以上专业版（建议64位）</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5950" w:type="dxa"/>
            <w:gridSpan w:val="2"/>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7"/>
                <w:rFonts w:hint="eastAsia" w:ascii="仿宋" w:hAnsi="仿宋" w:eastAsia="仿宋" w:cs="仿宋"/>
                <w:color w:val="auto"/>
                <w:sz w:val="32"/>
                <w:szCs w:val="32"/>
                <w:highlight w:val="none"/>
              </w:rPr>
            </w:pPr>
            <w:r>
              <w:rPr>
                <w:rStyle w:val="17"/>
                <w:rFonts w:ascii="仿宋" w:hAnsi="仿宋" w:eastAsia="仿宋" w:cs="仿宋"/>
                <w:color w:val="auto"/>
                <w:sz w:val="32"/>
                <w:szCs w:val="32"/>
                <w:highlight w:val="none"/>
              </w:rPr>
              <w:t>注：</w:t>
            </w:r>
          </w:p>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1、划分D盘用于安装语音播报程序</w:t>
            </w:r>
          </w:p>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r>
              <w:rPr>
                <w:rStyle w:val="17"/>
                <w:rFonts w:ascii="仿宋" w:hAnsi="仿宋" w:eastAsia="仿宋" w:cs="仿宋"/>
                <w:b w:val="0"/>
                <w:bCs/>
                <w:color w:val="auto"/>
                <w:sz w:val="32"/>
                <w:szCs w:val="32"/>
                <w:highlight w:val="none"/>
              </w:rPr>
              <w:t>2、配音箱（30W或以上）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2</w:t>
            </w:r>
          </w:p>
        </w:tc>
        <w:tc>
          <w:tcPr>
            <w:tcW w:w="987"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投影仪</w:t>
            </w: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尺寸范围</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60英寸~150英寸</w:t>
            </w:r>
          </w:p>
        </w:tc>
        <w:tc>
          <w:tcPr>
            <w:tcW w:w="639"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台</w:t>
            </w:r>
          </w:p>
        </w:tc>
        <w:tc>
          <w:tcPr>
            <w:tcW w:w="666"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输入接口</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HDMI、DVI、VGA、YPbPr、Video等</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分辨率</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1024×768dpi或以上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ind w:left="0" w:hanging="640" w:hangingChars="200"/>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显示比例</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ind w:left="0" w:hanging="640" w:hangingChars="200"/>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16:10；4:3；16:9；其他</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3</w:t>
            </w:r>
          </w:p>
        </w:tc>
        <w:tc>
          <w:tcPr>
            <w:tcW w:w="987"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电视机</w:t>
            </w: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屏幕尺寸</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65英寸或以上</w:t>
            </w:r>
          </w:p>
        </w:tc>
        <w:tc>
          <w:tcPr>
            <w:tcW w:w="639"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台</w:t>
            </w:r>
          </w:p>
        </w:tc>
        <w:tc>
          <w:tcPr>
            <w:tcW w:w="666"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屏幕比例</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16:9或以上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连接方式</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无线/有线</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音响功率</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10W或以上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blHeader/>
          <w:jc w:val="center"/>
        </w:trPr>
        <w:tc>
          <w:tcPr>
            <w:tcW w:w="658"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4</w:t>
            </w:r>
          </w:p>
        </w:tc>
        <w:tc>
          <w:tcPr>
            <w:tcW w:w="987"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平板电脑</w:t>
            </w:r>
            <w:r>
              <w:rPr>
                <w:rStyle w:val="17"/>
                <w:rFonts w:ascii="仿宋" w:hAnsi="仿宋" w:eastAsia="仿宋" w:cs="仿宋"/>
                <w:b w:val="0"/>
                <w:bCs/>
                <w:color w:val="auto"/>
                <w:sz w:val="32"/>
                <w:szCs w:val="32"/>
                <w:highlight w:val="none"/>
              </w:rPr>
              <w:t>（配流量卡）</w:t>
            </w: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系统内存</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运行内存4GB以上，机身内存64G</w:t>
            </w:r>
          </w:p>
        </w:tc>
        <w:tc>
          <w:tcPr>
            <w:tcW w:w="639"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台</w:t>
            </w:r>
          </w:p>
        </w:tc>
        <w:tc>
          <w:tcPr>
            <w:tcW w:w="666"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移动网络</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4G/5G LTE（全网通）</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显示屏</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屏幕10.4英寸，电容式触摸屏</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感应器</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重力感应器，环境光传感器</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摄像头</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双摄像头（前置：800万像素，后置：800万像素）</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数据连接</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WIFI；4G；蓝牙</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SIM卡类型</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Nano SIM</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操作系统</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基于Google Android 10</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4</w:t>
            </w:r>
          </w:p>
        </w:tc>
        <w:tc>
          <w:tcPr>
            <w:tcW w:w="987"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签到查询机</w:t>
            </w: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CPU</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Intel 酷睿 i3以上 2.50GHz以上</w:t>
            </w:r>
          </w:p>
        </w:tc>
        <w:tc>
          <w:tcPr>
            <w:tcW w:w="639"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台</w:t>
            </w:r>
          </w:p>
        </w:tc>
        <w:tc>
          <w:tcPr>
            <w:tcW w:w="666"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主板</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Intel Q45芯片组及以上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rPr>
              <w:t>内存</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rPr>
              <w:t>4G或以上，工作频率≥1600MHZ</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显卡</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主板集成显卡，显存</w:t>
            </w:r>
            <w:r>
              <w:rPr>
                <w:rFonts w:hint="eastAsia" w:ascii="仿宋" w:hAnsi="仿宋" w:eastAsia="仿宋" w:cs="仿宋"/>
                <w:bCs/>
                <w:color w:val="auto"/>
                <w:kern w:val="0"/>
                <w:sz w:val="32"/>
                <w:szCs w:val="32"/>
                <w:highlight w:val="none"/>
              </w:rPr>
              <w:t>≥2G</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显示器</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19寸宽屏液晶，分辨率</w:t>
            </w:r>
            <w:r>
              <w:rPr>
                <w:rFonts w:hint="eastAsia" w:ascii="仿宋" w:hAnsi="仿宋" w:eastAsia="仿宋" w:cs="仿宋"/>
                <w:bCs/>
                <w:color w:val="auto"/>
                <w:kern w:val="0"/>
                <w:sz w:val="32"/>
                <w:szCs w:val="32"/>
                <w:highlight w:val="none"/>
              </w:rPr>
              <w:t>≥1360*768</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声卡</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主板集成声卡</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硬盘</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500G或以上，Serial ATA 300接口</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网卡</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主板集成100M或1000M以太网卡</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接口</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8"/>
                <w:rFonts w:hint="eastAsia" w:ascii="仿宋" w:hAnsi="仿宋" w:eastAsia="仿宋" w:cs="仿宋"/>
                <w:bCs/>
                <w:color w:val="auto"/>
                <w:sz w:val="32"/>
                <w:szCs w:val="32"/>
                <w:highlight w:val="none"/>
              </w:rPr>
              <w:t>至少提供2个USB2.0接口</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7"/>
                <w:rFonts w:ascii="仿宋" w:hAnsi="仿宋" w:eastAsia="仿宋" w:cs="仿宋"/>
                <w:b w:val="0"/>
                <w:bCs/>
                <w:color w:val="auto"/>
                <w:sz w:val="32"/>
                <w:szCs w:val="32"/>
                <w:highlight w:val="none"/>
              </w:rPr>
              <w:t>操作系统</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Style w:val="17"/>
                <w:rFonts w:ascii="仿宋" w:hAnsi="仿宋" w:eastAsia="仿宋" w:cs="仿宋"/>
                <w:b w:val="0"/>
                <w:bCs/>
                <w:color w:val="auto"/>
                <w:sz w:val="32"/>
                <w:szCs w:val="32"/>
                <w:highlight w:val="none"/>
              </w:rPr>
              <w:t>Windows 7以上专业版（建议64位）</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5950" w:type="dxa"/>
            <w:gridSpan w:val="2"/>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7"/>
                <w:rFonts w:hint="eastAsia" w:ascii="仿宋" w:hAnsi="仿宋" w:eastAsia="仿宋" w:cs="仿宋"/>
                <w:color w:val="auto"/>
                <w:sz w:val="32"/>
                <w:szCs w:val="32"/>
                <w:highlight w:val="none"/>
              </w:rPr>
            </w:pPr>
            <w:r>
              <w:rPr>
                <w:rStyle w:val="17"/>
                <w:rFonts w:ascii="仿宋" w:hAnsi="仿宋" w:eastAsia="仿宋" w:cs="仿宋"/>
                <w:color w:val="auto"/>
                <w:sz w:val="32"/>
                <w:szCs w:val="32"/>
                <w:highlight w:val="none"/>
              </w:rPr>
              <w:t>注：</w:t>
            </w:r>
          </w:p>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1、划分D盘用于安装语音播报程序</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5</w:t>
            </w:r>
          </w:p>
        </w:tc>
        <w:tc>
          <w:tcPr>
            <w:tcW w:w="987"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身份证读卡器</w:t>
            </w:r>
          </w:p>
        </w:tc>
        <w:tc>
          <w:tcPr>
            <w:tcW w:w="5950" w:type="dxa"/>
            <w:gridSpan w:val="2"/>
            <w:shd w:val="clear" w:color="auto" w:fill="auto"/>
            <w:vAlign w:val="center"/>
          </w:tcPr>
          <w:p>
            <w:pPr>
              <w:keepNext w:val="0"/>
              <w:keepLines w:val="0"/>
              <w:pageBreakBefore w:val="0"/>
              <w:widowControl/>
              <w:numPr>
                <w:ilvl w:val="0"/>
                <w:numId w:val="8"/>
              </w:numPr>
              <w:kinsoku/>
              <w:overflowPunct/>
              <w:topLinePunct w:val="0"/>
              <w:autoSpaceDE/>
              <w:autoSpaceDN/>
              <w:bidi w:val="0"/>
              <w:adjustRightInd w:val="0"/>
              <w:snapToGrid w:val="0"/>
              <w:spacing w:line="600" w:lineRule="exact"/>
              <w:jc w:val="left"/>
              <w:textAlignment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品牌：华视电子（推荐），可用型号：CVR-100UA或CVR-100UC</w:t>
            </w:r>
          </w:p>
          <w:p>
            <w:pPr>
              <w:keepNext w:val="0"/>
              <w:keepLines w:val="0"/>
              <w:pageBreakBefore w:val="0"/>
              <w:widowControl/>
              <w:numPr>
                <w:ilvl w:val="0"/>
                <w:numId w:val="8"/>
              </w:numPr>
              <w:kinsoku/>
              <w:overflowPunct/>
              <w:topLinePunct w:val="0"/>
              <w:autoSpaceDE/>
              <w:autoSpaceDN/>
              <w:bidi w:val="0"/>
              <w:adjustRightInd w:val="0"/>
              <w:snapToGrid w:val="0"/>
              <w:spacing w:line="600" w:lineRule="exact"/>
              <w:jc w:val="left"/>
              <w:textAlignment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品牌：华旭金卡，可用型号：HX-FDX3、HX-FDX3S、HX-FDX3AJ</w:t>
            </w:r>
          </w:p>
        </w:tc>
        <w:tc>
          <w:tcPr>
            <w:tcW w:w="639" w:type="dxa"/>
            <w:shd w:val="clear" w:color="auto" w:fill="auto"/>
            <w:vAlign w:val="center"/>
          </w:tcPr>
          <w:p>
            <w:pPr>
              <w:keepNext w:val="0"/>
              <w:keepLines w:val="0"/>
              <w:pageBreakBefore w:val="0"/>
              <w:kinsoku/>
              <w:overflowPunct/>
              <w:topLinePunct w:val="0"/>
              <w:autoSpaceDE/>
              <w:autoSpaceDN/>
              <w:bidi w:val="0"/>
              <w:adjustRightInd w:val="0"/>
              <w:snapToGrid w:val="0"/>
              <w:spacing w:line="6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台</w:t>
            </w:r>
          </w:p>
        </w:tc>
        <w:tc>
          <w:tcPr>
            <w:tcW w:w="666" w:type="dxa"/>
            <w:shd w:val="clear" w:color="auto" w:fill="auto"/>
            <w:vAlign w:val="center"/>
          </w:tcPr>
          <w:p>
            <w:pPr>
              <w:keepNext w:val="0"/>
              <w:keepLines w:val="0"/>
              <w:pageBreakBefore w:val="0"/>
              <w:kinsoku/>
              <w:overflowPunct/>
              <w:topLinePunct w:val="0"/>
              <w:autoSpaceDE/>
              <w:autoSpaceDN/>
              <w:bidi w:val="0"/>
              <w:adjustRightInd w:val="0"/>
              <w:snapToGrid w:val="0"/>
              <w:spacing w:line="6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6</w:t>
            </w:r>
          </w:p>
        </w:tc>
        <w:tc>
          <w:tcPr>
            <w:tcW w:w="987" w:type="dxa"/>
            <w:vMerge w:val="restart"/>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路由器</w:t>
            </w: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内存容量</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128MB</w:t>
            </w:r>
          </w:p>
        </w:tc>
        <w:tc>
          <w:tcPr>
            <w:tcW w:w="639" w:type="dxa"/>
            <w:vMerge w:val="restart"/>
            <w:shd w:val="clear" w:color="auto" w:fill="auto"/>
            <w:vAlign w:val="center"/>
          </w:tcPr>
          <w:p>
            <w:pPr>
              <w:keepNext w:val="0"/>
              <w:keepLines w:val="0"/>
              <w:pageBreakBefore w:val="0"/>
              <w:kinsoku/>
              <w:overflowPunct/>
              <w:topLinePunct w:val="0"/>
              <w:autoSpaceDE/>
              <w:autoSpaceDN/>
              <w:bidi w:val="0"/>
              <w:adjustRightInd w:val="0"/>
              <w:snapToGrid w:val="0"/>
              <w:spacing w:line="6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台</w:t>
            </w:r>
          </w:p>
        </w:tc>
        <w:tc>
          <w:tcPr>
            <w:tcW w:w="666" w:type="dxa"/>
            <w:vMerge w:val="restart"/>
            <w:shd w:val="clear" w:color="auto" w:fill="auto"/>
            <w:vAlign w:val="center"/>
          </w:tcPr>
          <w:p>
            <w:pPr>
              <w:keepNext w:val="0"/>
              <w:keepLines w:val="0"/>
              <w:pageBreakBefore w:val="0"/>
              <w:kinsoku/>
              <w:overflowPunct/>
              <w:topLinePunct w:val="0"/>
              <w:autoSpaceDE/>
              <w:autoSpaceDN/>
              <w:bidi w:val="0"/>
              <w:adjustRightInd w:val="0"/>
              <w:snapToGrid w:val="0"/>
              <w:spacing w:line="6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Fonts w:hint="eastAsia" w:ascii="仿宋" w:hAnsi="仿宋" w:eastAsia="仿宋" w:cs="仿宋"/>
                <w:color w:val="auto"/>
                <w:sz w:val="32"/>
                <w:szCs w:val="32"/>
                <w:highlight w:val="none"/>
              </w:rPr>
            </w:pPr>
            <w:r>
              <w:rPr>
                <w:rStyle w:val="17"/>
                <w:rFonts w:ascii="仿宋" w:hAnsi="仿宋" w:eastAsia="仿宋" w:cs="仿宋"/>
                <w:b w:val="0"/>
                <w:bCs/>
                <w:color w:val="auto"/>
                <w:sz w:val="32"/>
                <w:szCs w:val="32"/>
                <w:highlight w:val="none"/>
              </w:rPr>
              <w:t>5G MIMO技术</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2x2 MIMO</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防火墙</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支持</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适用面积</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120m</w:t>
            </w:r>
            <w:r>
              <w:rPr>
                <w:rStyle w:val="17"/>
                <w:rFonts w:ascii="仿宋" w:hAnsi="仿宋" w:eastAsia="仿宋" w:cs="仿宋"/>
                <w:b w:val="0"/>
                <w:bCs/>
                <w:color w:val="auto"/>
                <w:sz w:val="32"/>
                <w:szCs w:val="32"/>
                <w:highlight w:val="none"/>
                <w:vertAlign w:val="superscript"/>
              </w:rPr>
              <w:t>2</w:t>
            </w:r>
            <w:r>
              <w:rPr>
                <w:rStyle w:val="17"/>
                <w:rFonts w:ascii="仿宋" w:hAnsi="仿宋" w:eastAsia="仿宋" w:cs="仿宋"/>
                <w:b w:val="0"/>
                <w:bCs/>
                <w:color w:val="auto"/>
                <w:sz w:val="32"/>
                <w:szCs w:val="32"/>
                <w:highlight w:val="none"/>
              </w:rPr>
              <w:t>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无线速率</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3000M</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WAN接入口</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千兆网口</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LAN输出口</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7"/>
                <w:rFonts w:ascii="仿宋" w:hAnsi="仿宋" w:eastAsia="仿宋" w:cs="仿宋"/>
                <w:b w:val="0"/>
                <w:bCs/>
                <w:color w:val="auto"/>
                <w:sz w:val="32"/>
                <w:szCs w:val="32"/>
                <w:highlight w:val="none"/>
              </w:rPr>
              <w:t>千兆网口</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天线</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外置天线</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133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center"/>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LAN口数量</w:t>
            </w:r>
          </w:p>
        </w:tc>
        <w:tc>
          <w:tcPr>
            <w:tcW w:w="4615" w:type="dxa"/>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4个或以上</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4" w:hRule="atLeast"/>
          <w:tblHeader/>
          <w:jc w:val="center"/>
        </w:trPr>
        <w:tc>
          <w:tcPr>
            <w:tcW w:w="658"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987"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5950" w:type="dxa"/>
            <w:gridSpan w:val="2"/>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r>
              <w:rPr>
                <w:rStyle w:val="18"/>
                <w:rFonts w:hint="eastAsia" w:ascii="仿宋" w:hAnsi="仿宋" w:eastAsia="仿宋" w:cs="仿宋"/>
                <w:bCs/>
                <w:color w:val="auto"/>
                <w:sz w:val="32"/>
                <w:szCs w:val="32"/>
                <w:highlight w:val="none"/>
              </w:rPr>
              <w:t>注：可以采用路由器加AP增加覆盖面积，保证科目一、科目二、科目三、科目四网络覆盖dBm小于-55</w:t>
            </w:r>
          </w:p>
        </w:tc>
        <w:tc>
          <w:tcPr>
            <w:tcW w:w="639"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c>
          <w:tcPr>
            <w:tcW w:w="666" w:type="dxa"/>
            <w:vMerge w:val="continue"/>
            <w:shd w:val="clear" w:color="auto" w:fill="auto"/>
            <w:vAlign w:val="center"/>
          </w:tcPr>
          <w:p>
            <w:pPr>
              <w:keepNext w:val="0"/>
              <w:keepLines w:val="0"/>
              <w:pageBreakBefore w:val="0"/>
              <w:widowControl/>
              <w:kinsoku/>
              <w:overflowPunct/>
              <w:topLinePunct w:val="0"/>
              <w:autoSpaceDE/>
              <w:autoSpaceDN/>
              <w:bidi w:val="0"/>
              <w:adjustRightInd w:val="0"/>
              <w:snapToGrid w:val="0"/>
              <w:spacing w:line="600" w:lineRule="exact"/>
              <w:jc w:val="left"/>
              <w:textAlignment w:val="center"/>
              <w:rPr>
                <w:rStyle w:val="18"/>
                <w:rFonts w:hint="eastAsia" w:ascii="仿宋" w:hAnsi="仿宋" w:eastAsia="仿宋" w:cs="仿宋"/>
                <w:bCs/>
                <w:color w:val="auto"/>
                <w:sz w:val="32"/>
                <w:szCs w:val="32"/>
                <w:highlight w:val="none"/>
              </w:rPr>
            </w:pPr>
          </w:p>
        </w:tc>
      </w:tr>
    </w:tbl>
    <w:p>
      <w:pPr>
        <w:keepNext w:val="0"/>
        <w:keepLines w:val="0"/>
        <w:pageBreakBefore w:val="0"/>
        <w:kinsoku/>
        <w:overflowPunct/>
        <w:topLinePunct w:val="0"/>
        <w:autoSpaceDE/>
        <w:autoSpaceDN/>
        <w:bidi w:val="0"/>
        <w:adjustRightInd w:val="0"/>
        <w:snapToGrid w:val="0"/>
        <w:spacing w:line="60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注：投影仪，电视机任意选一即可。</w:t>
      </w:r>
    </w:p>
    <w:p>
      <w:pPr>
        <w:keepNext w:val="0"/>
        <w:keepLines w:val="0"/>
        <w:pageBreakBefore w:val="0"/>
        <w:kinsoku/>
        <w:overflowPunct/>
        <w:topLinePunct w:val="0"/>
        <w:autoSpaceDE/>
        <w:autoSpaceDN/>
        <w:bidi w:val="0"/>
        <w:spacing w:line="600" w:lineRule="exac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rPr>
          <w:rFonts w:ascii="仿宋" w:hAnsi="仿宋" w:eastAsia="仿宋" w:cs="仿宋"/>
          <w:color w:val="auto"/>
          <w:sz w:val="32"/>
          <w:szCs w:val="32"/>
          <w:highlight w:val="none"/>
        </w:rPr>
      </w:pPr>
    </w:p>
    <w:p>
      <w:pPr>
        <w:keepNext w:val="0"/>
        <w:keepLines w:val="0"/>
        <w:pageBreakBefore w:val="0"/>
        <w:widowControl/>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考试点网络布局图如下：</w:t>
      </w:r>
    </w:p>
    <w:p>
      <w:pPr>
        <w:keepNext w:val="0"/>
        <w:keepLines w:val="0"/>
        <w:pageBreakBefore w:val="0"/>
        <w:kinsoku/>
        <w:overflowPunct/>
        <w:topLinePunct w:val="0"/>
        <w:autoSpaceDE/>
        <w:autoSpaceDN/>
        <w:bidi w:val="0"/>
        <w:spacing w:line="600" w:lineRule="exact"/>
        <w:jc w:val="center"/>
        <w:rPr>
          <w:rFonts w:ascii="仿宋" w:hAnsi="仿宋" w:eastAsia="仿宋" w:cs="仿宋"/>
          <w:color w:val="auto"/>
          <w:sz w:val="32"/>
          <w:szCs w:val="32"/>
          <w:highlight w:val="none"/>
        </w:rPr>
      </w:pPr>
      <w:r>
        <w:rPr>
          <w:rFonts w:ascii="宋体" w:hAnsi="宋体" w:eastAsia="宋体" w:cs="宋体"/>
          <w:sz w:val="24"/>
          <w:szCs w:val="24"/>
        </w:rPr>
        <w:drawing>
          <wp:anchor distT="0" distB="0" distL="114300" distR="114300" simplePos="0" relativeHeight="251671552" behindDoc="1" locked="0" layoutInCell="1" allowOverlap="1">
            <wp:simplePos x="0" y="0"/>
            <wp:positionH relativeFrom="column">
              <wp:posOffset>0</wp:posOffset>
            </wp:positionH>
            <wp:positionV relativeFrom="paragraph">
              <wp:posOffset>160655</wp:posOffset>
            </wp:positionV>
            <wp:extent cx="5336540" cy="3481705"/>
            <wp:effectExtent l="0" t="0" r="16510" b="4445"/>
            <wp:wrapTight wrapText="bothSides">
              <wp:wrapPolygon>
                <wp:start x="0" y="0"/>
                <wp:lineTo x="0" y="21509"/>
                <wp:lineTo x="21513" y="21509"/>
                <wp:lineTo x="21513" y="0"/>
                <wp:lineTo x="0" y="0"/>
              </wp:wrapPolygon>
            </wp:wrapTight>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7"/>
                    <a:stretch>
                      <a:fillRect/>
                    </a:stretch>
                  </pic:blipFill>
                  <pic:spPr>
                    <a:xfrm>
                      <a:off x="0" y="0"/>
                      <a:ext cx="5336540" cy="3481705"/>
                    </a:xfrm>
                    <a:prstGeom prst="rect">
                      <a:avLst/>
                    </a:prstGeom>
                    <a:noFill/>
                    <a:ln w="9525">
                      <a:noFill/>
                    </a:ln>
                  </pic:spPr>
                </pic:pic>
              </a:graphicData>
            </a:graphic>
          </wp:anchor>
        </w:drawing>
      </w: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注意：</w:t>
      </w:r>
    </w:p>
    <w:p>
      <w:pPr>
        <w:keepNext w:val="0"/>
        <w:keepLines w:val="0"/>
        <w:pageBreakBefore w:val="0"/>
        <w:numPr>
          <w:ilvl w:val="0"/>
          <w:numId w:val="9"/>
        </w:numPr>
        <w:kinsoku/>
        <w:overflowPunct/>
        <w:topLinePunct w:val="0"/>
        <w:autoSpaceDE/>
        <w:autoSpaceDN/>
        <w:bidi w:val="0"/>
        <w:spacing w:line="600" w:lineRule="exact"/>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原则上除路由器外，一个工种配置一套设备。</w:t>
      </w:r>
    </w:p>
    <w:p>
      <w:pPr>
        <w:keepNext w:val="0"/>
        <w:keepLines w:val="0"/>
        <w:pageBreakBefore w:val="0"/>
        <w:numPr>
          <w:ilvl w:val="0"/>
          <w:numId w:val="9"/>
        </w:numPr>
        <w:kinsoku/>
        <w:overflowPunct/>
        <w:topLinePunct w:val="0"/>
        <w:autoSpaceDE/>
        <w:autoSpaceDN/>
        <w:bidi w:val="0"/>
        <w:spacing w:line="600" w:lineRule="exact"/>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如果多个工种且考场相近可共用同一套设备。</w:t>
      </w:r>
    </w:p>
    <w:p>
      <w:pPr>
        <w:keepNext w:val="0"/>
        <w:keepLines w:val="0"/>
        <w:pageBreakBefore w:val="0"/>
        <w:numPr>
          <w:ilvl w:val="0"/>
          <w:numId w:val="9"/>
        </w:numPr>
        <w:kinsoku/>
        <w:overflowPunct/>
        <w:topLinePunct w:val="0"/>
        <w:autoSpaceDE/>
        <w:autoSpaceDN/>
        <w:bidi w:val="0"/>
        <w:spacing w:line="600" w:lineRule="exact"/>
        <w:jc w:val="left"/>
        <w:rPr>
          <w:rFonts w:ascii="仿宋" w:hAnsi="仿宋" w:eastAsia="仿宋" w:cs="仿宋"/>
          <w:color w:val="auto"/>
          <w:sz w:val="32"/>
          <w:szCs w:val="32"/>
          <w:highlight w:val="none"/>
        </w:rPr>
      </w:pPr>
      <w:r>
        <w:rPr>
          <w:rStyle w:val="17"/>
          <w:rFonts w:hint="default" w:ascii="仿宋" w:hAnsi="仿宋" w:eastAsia="仿宋" w:cs="仿宋"/>
          <w:b w:val="0"/>
          <w:bCs/>
          <w:color w:val="auto"/>
          <w:sz w:val="32"/>
          <w:szCs w:val="32"/>
          <w:highlight w:val="none"/>
        </w:rPr>
        <w:t>网速：下行速率100MB或以上、上行速率50MB或以上</w:t>
      </w:r>
      <w:r>
        <w:rPr>
          <w:rStyle w:val="17"/>
          <w:rFonts w:ascii="仿宋" w:hAnsi="仿宋" w:eastAsia="仿宋" w:cs="仿宋"/>
          <w:b w:val="0"/>
          <w:bCs/>
          <w:color w:val="auto"/>
          <w:sz w:val="32"/>
          <w:szCs w:val="32"/>
          <w:highlight w:val="none"/>
        </w:rPr>
        <w:t>。</w:t>
      </w:r>
    </w:p>
    <w:p>
      <w:pPr>
        <w:keepNext w:val="0"/>
        <w:keepLines w:val="0"/>
        <w:pageBreakBefore w:val="0"/>
        <w:kinsoku/>
        <w:overflowPunct/>
        <w:topLinePunct w:val="0"/>
        <w:autoSpaceDE/>
        <w:autoSpaceDN/>
        <w:bidi w:val="0"/>
        <w:spacing w:line="600" w:lineRule="exact"/>
        <w:jc w:val="center"/>
        <w:rPr>
          <w:rFonts w:hint="eastAsia" w:ascii="仿宋" w:hAnsi="仿宋" w:eastAsia="仿宋" w:cs="仿宋"/>
          <w:b/>
          <w:color w:val="auto"/>
          <w:sz w:val="32"/>
          <w:szCs w:val="32"/>
          <w:highlight w:val="none"/>
        </w:rPr>
      </w:pPr>
    </w:p>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rPr>
          <w:rFonts w:hint="eastAsia" w:ascii="仿宋" w:hAnsi="仿宋" w:eastAsia="仿宋" w:cs="仿宋"/>
          <w:color w:val="auto"/>
          <w:sz w:val="32"/>
          <w:szCs w:val="32"/>
          <w:highlight w:val="none"/>
        </w:rPr>
      </w:pPr>
    </w:p>
    <w:p>
      <w:pP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br w:type="page"/>
      </w:r>
    </w:p>
    <w:p>
      <w:pPr>
        <w:keepNext w:val="0"/>
        <w:keepLines w:val="0"/>
        <w:pageBreakBefore w:val="0"/>
        <w:kinsoku/>
        <w:overflowPunct/>
        <w:topLinePunct w:val="0"/>
        <w:autoSpaceDE/>
        <w:autoSpaceDN/>
        <w:bidi w:val="0"/>
        <w:spacing w:line="600" w:lineRule="exac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7</w:t>
      </w:r>
    </w:p>
    <w:p>
      <w:pPr>
        <w:keepNext w:val="0"/>
        <w:keepLines w:val="0"/>
        <w:pageBreakBefore w:val="0"/>
        <w:kinsoku/>
        <w:overflowPunct/>
        <w:topLinePunct w:val="0"/>
        <w:autoSpaceDE/>
        <w:autoSpaceDN/>
        <w:bidi w:val="0"/>
        <w:spacing w:line="600" w:lineRule="exact"/>
        <w:jc w:val="center"/>
        <w:rPr>
          <w:rFonts w:ascii="仿宋" w:hAnsi="仿宋" w:eastAsia="仿宋" w:cs="仿宋"/>
          <w:b/>
          <w:bCs/>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rPr>
        <w:t>广州市安全培训机构</w:t>
      </w:r>
      <w:r>
        <w:rPr>
          <w:rFonts w:hint="eastAsia" w:ascii="方正小标宋_GBK" w:hAnsi="方正小标宋_GBK" w:eastAsia="方正小标宋_GBK" w:cs="方正小标宋_GBK"/>
          <w:b w:val="0"/>
          <w:bCs w:val="0"/>
          <w:color w:val="auto"/>
          <w:sz w:val="32"/>
          <w:szCs w:val="32"/>
          <w:highlight w:val="none"/>
          <w:lang w:eastAsia="zh-CN"/>
        </w:rPr>
        <w:t>、</w:t>
      </w:r>
      <w:r>
        <w:rPr>
          <w:rFonts w:hint="eastAsia" w:ascii="方正小标宋_GBK" w:hAnsi="方正小标宋_GBK" w:eastAsia="方正小标宋_GBK" w:cs="方正小标宋_GBK"/>
          <w:b w:val="0"/>
          <w:bCs w:val="0"/>
          <w:color w:val="auto"/>
          <w:sz w:val="32"/>
          <w:szCs w:val="32"/>
          <w:highlight w:val="none"/>
        </w:rPr>
        <w:t>考试点档案管理目录</w:t>
      </w:r>
    </w:p>
    <w:p>
      <w:pPr>
        <w:keepNext w:val="0"/>
        <w:keepLines w:val="0"/>
        <w:pageBreakBefore w:val="0"/>
        <w:kinsoku/>
        <w:overflowPunct/>
        <w:topLinePunct w:val="0"/>
        <w:autoSpaceDE/>
        <w:autoSpaceDN/>
        <w:bidi w:val="0"/>
        <w:spacing w:line="600" w:lineRule="exact"/>
        <w:ind w:firstLine="645"/>
        <w:jc w:val="center"/>
        <w:rPr>
          <w:rFonts w:ascii="仿宋" w:hAnsi="仿宋" w:eastAsia="仿宋" w:cs="仿宋"/>
          <w:b/>
          <w:bCs/>
          <w:color w:val="auto"/>
          <w:sz w:val="32"/>
          <w:szCs w:val="32"/>
          <w:highlight w:val="none"/>
        </w:rPr>
      </w:pPr>
    </w:p>
    <w:p>
      <w:pPr>
        <w:keepNext w:val="0"/>
        <w:keepLines w:val="0"/>
        <w:pageBreakBefore w:val="0"/>
        <w:numPr>
          <w:ilvl w:val="0"/>
          <w:numId w:val="10"/>
        </w:numPr>
        <w:kinsoku/>
        <w:overflowPunct/>
        <w:topLinePunct w:val="0"/>
        <w:autoSpaceDE/>
        <w:autoSpaceDN/>
        <w:bidi w:val="0"/>
        <w:spacing w:line="600" w:lineRule="exact"/>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安全</w:t>
      </w:r>
      <w:r>
        <w:rPr>
          <w:rFonts w:hint="eastAsia" w:ascii="仿宋_GB2312" w:hAnsi="仿宋_GB2312" w:eastAsia="仿宋_GB2312" w:cs="仿宋_GB2312"/>
          <w:b w:val="0"/>
          <w:bCs w:val="0"/>
          <w:color w:val="auto"/>
          <w:sz w:val="32"/>
          <w:szCs w:val="32"/>
          <w:highlight w:val="none"/>
        </w:rPr>
        <w:t>培训机构培训档案</w:t>
      </w:r>
    </w:p>
    <w:p>
      <w:pPr>
        <w:keepNext w:val="0"/>
        <w:keepLines w:val="0"/>
        <w:pageBreakBefore w:val="0"/>
        <w:numPr>
          <w:ilvl w:val="0"/>
          <w:numId w:val="0"/>
        </w:numPr>
        <w:kinsoku/>
        <w:overflowPunct/>
        <w:topLinePunct w:val="0"/>
        <w:autoSpaceDE/>
        <w:autoSpaceDN/>
        <w:bidi w:val="0"/>
        <w:spacing w:line="600" w:lineRule="exact"/>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（一）安全生产培训学员</w:t>
      </w:r>
      <w:r>
        <w:rPr>
          <w:rFonts w:hint="eastAsia" w:ascii="仿宋_GB2312" w:hAnsi="仿宋_GB2312" w:eastAsia="仿宋_GB2312" w:cs="仿宋_GB2312"/>
          <w:b/>
          <w:bCs/>
          <w:color w:val="auto"/>
          <w:sz w:val="32"/>
          <w:szCs w:val="32"/>
          <w:highlight w:val="none"/>
          <w:lang w:eastAsia="zh-CN"/>
        </w:rPr>
        <w:t>档案</w:t>
      </w:r>
      <w:r>
        <w:rPr>
          <w:rFonts w:hint="eastAsia" w:ascii="仿宋_GB2312" w:hAnsi="仿宋_GB2312" w:eastAsia="仿宋_GB2312" w:cs="仿宋_GB2312"/>
          <w:b/>
          <w:bCs/>
          <w:color w:val="auto"/>
          <w:sz w:val="32"/>
          <w:szCs w:val="32"/>
          <w:highlight w:val="none"/>
        </w:rPr>
        <w:t>目录</w:t>
      </w:r>
    </w:p>
    <w:tbl>
      <w:tblPr>
        <w:tblStyle w:val="7"/>
        <w:tblpPr w:leftFromText="180" w:rightFromText="180" w:vertAnchor="text" w:horzAnchor="page" w:tblpXSpec="center" w:tblpY="20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5070"/>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序号</w:t>
            </w:r>
          </w:p>
        </w:tc>
        <w:tc>
          <w:tcPr>
            <w:tcW w:w="507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名称</w:t>
            </w:r>
          </w:p>
        </w:tc>
        <w:tc>
          <w:tcPr>
            <w:tcW w:w="240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p>
        </w:tc>
        <w:tc>
          <w:tcPr>
            <w:tcW w:w="507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广州市特种作业操作证核发申请表</w:t>
            </w:r>
          </w:p>
        </w:tc>
        <w:tc>
          <w:tcPr>
            <w:tcW w:w="240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p>
        </w:tc>
        <w:tc>
          <w:tcPr>
            <w:tcW w:w="507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个人健康承诺书</w:t>
            </w:r>
          </w:p>
        </w:tc>
        <w:tc>
          <w:tcPr>
            <w:tcW w:w="240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p>
        </w:tc>
        <w:tc>
          <w:tcPr>
            <w:tcW w:w="507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身份证复印件</w:t>
            </w:r>
          </w:p>
        </w:tc>
        <w:tc>
          <w:tcPr>
            <w:tcW w:w="240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4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w:t>
            </w:r>
          </w:p>
        </w:tc>
        <w:tc>
          <w:tcPr>
            <w:tcW w:w="507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学历证明</w:t>
            </w:r>
          </w:p>
        </w:tc>
        <w:tc>
          <w:tcPr>
            <w:tcW w:w="240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p>
        </w:tc>
      </w:tr>
    </w:tbl>
    <w:p>
      <w:pPr>
        <w:keepNext w:val="0"/>
        <w:keepLines w:val="0"/>
        <w:pageBreakBefore w:val="0"/>
        <w:kinsoku/>
        <w:overflowPunct/>
        <w:topLinePunct w:val="0"/>
        <w:autoSpaceDE/>
        <w:autoSpaceDN/>
        <w:bidi w:val="0"/>
        <w:spacing w:line="600" w:lineRule="exact"/>
        <w:jc w:val="both"/>
        <w:rPr>
          <w:rFonts w:hint="eastAsia" w:ascii="仿宋_GB2312" w:hAnsi="仿宋_GB2312" w:eastAsia="仿宋_GB2312" w:cs="仿宋_GB2312"/>
          <w:b/>
          <w:bCs/>
          <w:color w:val="auto"/>
          <w:sz w:val="32"/>
          <w:szCs w:val="32"/>
          <w:highlight w:val="none"/>
        </w:rPr>
      </w:pPr>
    </w:p>
    <w:p>
      <w:pPr>
        <w:keepNext w:val="0"/>
        <w:keepLines w:val="0"/>
        <w:pageBreakBefore w:val="0"/>
        <w:numPr>
          <w:ilvl w:val="0"/>
          <w:numId w:val="11"/>
        </w:numPr>
        <w:kinsoku/>
        <w:overflowPunct/>
        <w:topLinePunct w:val="0"/>
        <w:autoSpaceDE/>
        <w:autoSpaceDN/>
        <w:bidi w:val="0"/>
        <w:spacing w:line="600" w:lineRule="exact"/>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安全生产培训班</w:t>
      </w:r>
      <w:r>
        <w:rPr>
          <w:rFonts w:hint="eastAsia" w:ascii="仿宋_GB2312" w:hAnsi="仿宋_GB2312" w:eastAsia="仿宋_GB2312" w:cs="仿宋_GB2312"/>
          <w:b/>
          <w:bCs/>
          <w:color w:val="auto"/>
          <w:sz w:val="32"/>
          <w:szCs w:val="32"/>
          <w:highlight w:val="none"/>
          <w:lang w:eastAsia="zh-CN"/>
        </w:rPr>
        <w:t>档案</w:t>
      </w:r>
      <w:r>
        <w:rPr>
          <w:rFonts w:hint="eastAsia" w:ascii="仿宋_GB2312" w:hAnsi="仿宋_GB2312" w:eastAsia="仿宋_GB2312" w:cs="仿宋_GB2312"/>
          <w:b/>
          <w:bCs/>
          <w:color w:val="auto"/>
          <w:sz w:val="32"/>
          <w:szCs w:val="32"/>
          <w:highlight w:val="none"/>
        </w:rPr>
        <w:t>目录</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085"/>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序号</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名称</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培训计划报备表</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广州市安全生产资格考试申请表</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教学日志（含教学评估）</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考勤表</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报考学员情况明细表</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学时证明</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成绩登记表</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附表8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8</w:t>
            </w:r>
          </w:p>
        </w:tc>
        <w:tc>
          <w:tcPr>
            <w:tcW w:w="5085"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办证申请情况说明</w:t>
            </w:r>
          </w:p>
        </w:tc>
        <w:tc>
          <w:tcPr>
            <w:tcW w:w="2360" w:type="dxa"/>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附表9</w:t>
            </w:r>
          </w:p>
        </w:tc>
      </w:tr>
    </w:tbl>
    <w:p>
      <w:pPr>
        <w:keepNext w:val="0"/>
        <w:keepLines w:val="0"/>
        <w:pageBreakBefore w:val="0"/>
        <w:kinsoku/>
        <w:overflowPunct/>
        <w:topLinePunct w:val="0"/>
        <w:autoSpaceDE/>
        <w:autoSpaceDN/>
        <w:bidi w:val="0"/>
        <w:spacing w:line="600" w:lineRule="exact"/>
        <w:jc w:val="left"/>
        <w:rPr>
          <w:rFonts w:hint="eastAsia" w:ascii="仿宋_GB2312" w:hAnsi="仿宋_GB2312" w:eastAsia="仿宋_GB2312" w:cs="仿宋_GB2312"/>
          <w:b w:val="0"/>
          <w:bCs w:val="0"/>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二、安全生产资格考试点档案目录</w:t>
      </w:r>
    </w:p>
    <w:tbl>
      <w:tblPr>
        <w:tblStyle w:val="7"/>
        <w:tblpPr w:leftFromText="180" w:rightFromText="180" w:vertAnchor="text" w:horzAnchor="page" w:tblpXSpec="center" w:tblpY="250"/>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458"/>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序号</w:t>
            </w:r>
          </w:p>
        </w:tc>
        <w:tc>
          <w:tcPr>
            <w:tcW w:w="4458"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名称</w:t>
            </w:r>
          </w:p>
        </w:tc>
        <w:tc>
          <w:tcPr>
            <w:tcW w:w="298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p>
        </w:tc>
        <w:tc>
          <w:tcPr>
            <w:tcW w:w="4458"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考试点服务器数据</w:t>
            </w:r>
          </w:p>
        </w:tc>
        <w:tc>
          <w:tcPr>
            <w:tcW w:w="298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存储期不</w:t>
            </w:r>
            <w:r>
              <w:rPr>
                <w:rFonts w:hint="eastAsia" w:ascii="仿宋_GB2312" w:hAnsi="仿宋_GB2312" w:eastAsia="仿宋_GB2312" w:cs="仿宋_GB2312"/>
                <w:b w:val="0"/>
                <w:bCs w:val="0"/>
                <w:color w:val="auto"/>
                <w:sz w:val="32"/>
                <w:szCs w:val="32"/>
                <w:highlight w:val="none"/>
                <w:lang w:eastAsia="zh-CN"/>
              </w:rPr>
              <w:t>少</w:t>
            </w:r>
            <w:r>
              <w:rPr>
                <w:rFonts w:hint="eastAsia" w:ascii="仿宋_GB2312" w:hAnsi="仿宋_GB2312" w:eastAsia="仿宋_GB2312" w:cs="仿宋_GB2312"/>
                <w:b w:val="0"/>
                <w:bCs w:val="0"/>
                <w:color w:val="auto"/>
                <w:sz w:val="32"/>
                <w:szCs w:val="32"/>
                <w:highlight w:val="none"/>
              </w:rPr>
              <w:t>于7年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p>
        </w:tc>
        <w:tc>
          <w:tcPr>
            <w:tcW w:w="4458"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考试视频数据</w:t>
            </w:r>
          </w:p>
        </w:tc>
        <w:tc>
          <w:tcPr>
            <w:tcW w:w="298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存储期不</w:t>
            </w:r>
            <w:r>
              <w:rPr>
                <w:rFonts w:hint="eastAsia" w:ascii="仿宋_GB2312" w:hAnsi="仿宋_GB2312" w:eastAsia="仿宋_GB2312" w:cs="仿宋_GB2312"/>
                <w:b w:val="0"/>
                <w:bCs w:val="0"/>
                <w:color w:val="auto"/>
                <w:sz w:val="32"/>
                <w:szCs w:val="32"/>
                <w:highlight w:val="none"/>
                <w:lang w:eastAsia="zh-CN"/>
              </w:rPr>
              <w:t>少</w:t>
            </w:r>
            <w:r>
              <w:rPr>
                <w:rFonts w:hint="eastAsia" w:ascii="仿宋_GB2312" w:hAnsi="仿宋_GB2312" w:eastAsia="仿宋_GB2312" w:cs="仿宋_GB2312"/>
                <w:b w:val="0"/>
                <w:bCs w:val="0"/>
                <w:color w:val="auto"/>
                <w:sz w:val="32"/>
                <w:szCs w:val="32"/>
                <w:highlight w:val="none"/>
              </w:rPr>
              <w:t>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p>
        </w:tc>
        <w:tc>
          <w:tcPr>
            <w:tcW w:w="4458"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考试视频设备使用台账</w:t>
            </w:r>
          </w:p>
        </w:tc>
        <w:tc>
          <w:tcPr>
            <w:tcW w:w="298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w:t>
            </w:r>
          </w:p>
        </w:tc>
        <w:tc>
          <w:tcPr>
            <w:tcW w:w="4458"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考试点服务器使用台账</w:t>
            </w:r>
          </w:p>
        </w:tc>
        <w:tc>
          <w:tcPr>
            <w:tcW w:w="298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w:t>
            </w:r>
          </w:p>
        </w:tc>
        <w:tc>
          <w:tcPr>
            <w:tcW w:w="4458"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考试设备维护（更换）台账</w:t>
            </w:r>
          </w:p>
        </w:tc>
        <w:tc>
          <w:tcPr>
            <w:tcW w:w="298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含考试服务器、考生机及监控设备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w:t>
            </w:r>
          </w:p>
        </w:tc>
        <w:tc>
          <w:tcPr>
            <w:tcW w:w="4458"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考试设施设备清单</w:t>
            </w:r>
          </w:p>
        </w:tc>
        <w:tc>
          <w:tcPr>
            <w:tcW w:w="2987" w:type="dxa"/>
            <w:vAlign w:val="center"/>
          </w:tcPr>
          <w:p>
            <w:pPr>
              <w:keepNext w:val="0"/>
              <w:keepLines w:val="0"/>
              <w:pageBreakBefore w:val="0"/>
              <w:kinsoku/>
              <w:overflowPunct/>
              <w:topLinePunct w:val="0"/>
              <w:autoSpaceDE/>
              <w:autoSpaceDN/>
              <w:bidi w:val="0"/>
              <w:spacing w:line="600" w:lineRule="exact"/>
              <w:jc w:val="center"/>
              <w:rPr>
                <w:rFonts w:hint="eastAsia" w:ascii="仿宋_GB2312" w:hAnsi="仿宋_GB2312" w:eastAsia="仿宋_GB2312" w:cs="仿宋_GB2312"/>
                <w:b w:val="0"/>
                <w:bCs w:val="0"/>
                <w:color w:val="auto"/>
                <w:sz w:val="32"/>
                <w:szCs w:val="32"/>
                <w:highlight w:val="none"/>
              </w:rPr>
            </w:pPr>
          </w:p>
        </w:tc>
      </w:tr>
    </w:tbl>
    <w:p>
      <w:pPr>
        <w:keepNext w:val="0"/>
        <w:keepLines w:val="0"/>
        <w:pageBreakBefore w:val="0"/>
        <w:kinsoku/>
        <w:overflowPunct/>
        <w:topLinePunct w:val="0"/>
        <w:autoSpaceDE/>
        <w:autoSpaceDN/>
        <w:bidi w:val="0"/>
        <w:spacing w:line="600" w:lineRule="exact"/>
        <w:ind w:firstLine="645"/>
        <w:jc w:val="center"/>
        <w:rPr>
          <w:rFonts w:hint="eastAsia" w:ascii="仿宋_GB2312" w:hAnsi="仿宋_GB2312" w:eastAsia="仿宋_GB2312" w:cs="仿宋_GB2312"/>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_GB2312" w:hAnsi="仿宋_GB2312" w:eastAsia="仿宋_GB2312" w:cs="仿宋_GB2312"/>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_GB2312" w:hAnsi="仿宋_GB2312" w:eastAsia="仿宋_GB2312" w:cs="仿宋_GB2312"/>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_GB2312" w:hAnsi="仿宋_GB2312" w:eastAsia="仿宋_GB2312" w:cs="仿宋_GB2312"/>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b/>
          <w:bCs/>
          <w:color w:val="auto"/>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keepNext w:val="0"/>
        <w:keepLines w:val="0"/>
        <w:pageBreakBefore w:val="0"/>
        <w:kinsoku/>
        <w:overflowPunct/>
        <w:topLinePunct w:val="0"/>
        <w:autoSpaceDE/>
        <w:autoSpaceDN/>
        <w:bidi w:val="0"/>
        <w:spacing w:line="600" w:lineRule="exact"/>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附表1</w:t>
      </w: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p>
    <w:p>
      <w:pPr>
        <w:rPr>
          <w:rFonts w:hint="eastAsia" w:ascii="仿宋" w:hAnsi="仿宋" w:eastAsia="仿宋" w:cs="仿宋"/>
          <w:color w:val="auto"/>
          <w:sz w:val="32"/>
          <w:szCs w:val="32"/>
          <w:highlight w:val="none"/>
        </w:rPr>
      </w:pPr>
      <w:r>
        <w:rPr>
          <w:rFonts w:ascii="仿宋" w:hAnsi="仿宋" w:eastAsia="仿宋" w:cs="仿宋"/>
          <w:b/>
          <w:color w:val="auto"/>
          <w:sz w:val="32"/>
          <w:szCs w:val="32"/>
          <w:highlight w:val="none"/>
        </w:rPr>
        <w:drawing>
          <wp:inline distT="0" distB="0" distL="0" distR="0">
            <wp:extent cx="4926965" cy="7282815"/>
            <wp:effectExtent l="0" t="0" r="6985" b="13335"/>
            <wp:docPr id="1" name="图片 14" descr="166442008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1664420080003"/>
                    <pic:cNvPicPr>
                      <a:picLocks noChangeAspect="1" noChangeArrowheads="1"/>
                    </pic:cNvPicPr>
                  </pic:nvPicPr>
                  <pic:blipFill>
                    <a:blip r:embed="rId8"/>
                    <a:srcRect/>
                    <a:stretch>
                      <a:fillRect/>
                    </a:stretch>
                  </pic:blipFill>
                  <pic:spPr>
                    <a:xfrm>
                      <a:off x="0" y="0"/>
                      <a:ext cx="4926965" cy="7282815"/>
                    </a:xfrm>
                    <a:prstGeom prst="rect">
                      <a:avLst/>
                    </a:prstGeom>
                    <a:noFill/>
                    <a:ln w="9525">
                      <a:noFill/>
                      <a:miter lim="800000"/>
                      <a:headEnd/>
                      <a:tailEnd/>
                    </a:ln>
                  </pic:spPr>
                </pic:pic>
              </a:graphicData>
            </a:graphic>
          </wp:inline>
        </w:drawing>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val="0"/>
        <w:keepLines w:val="0"/>
        <w:pageBreakBefore w:val="0"/>
        <w:kinsoku/>
        <w:overflowPunct/>
        <w:topLinePunct w:val="0"/>
        <w:autoSpaceDE/>
        <w:autoSpaceDN/>
        <w:bidi w:val="0"/>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附表2</w:t>
      </w:r>
    </w:p>
    <w:p>
      <w:pPr>
        <w:keepNext w:val="0"/>
        <w:keepLines w:val="0"/>
        <w:pageBreakBefore w:val="0"/>
        <w:kinsoku/>
        <w:overflowPunct/>
        <w:topLinePunct w:val="0"/>
        <w:autoSpaceDE/>
        <w:autoSpaceDN/>
        <w:bidi w:val="0"/>
        <w:spacing w:line="60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个人健康承诺书</w:t>
      </w:r>
    </w:p>
    <w:p>
      <w:pPr>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广州市应急管理局:</w:t>
      </w:r>
    </w:p>
    <w:p>
      <w:pPr>
        <w:keepNext w:val="0"/>
        <w:keepLines w:val="0"/>
        <w:pageBreakBefore w:val="0"/>
        <w:kinsoku/>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姓名:，身份证号:）承诺自己的身体没有妨碍从事相应特种作业的器质性心脏病、癫痫病、美尼尔氏症、眩晕症、癔病、震颤麻痹症、精神病、痴呆症以及其他疾病和生理缺陷等方面的疾病,身体健康状况完全可以胜任目前的特种作业岗位工作,如有隐瞒愿意接受任何处理,在工作过程中如出现任何由于身体疾病导致的后果,相关责任全部由我本人承担。</w:t>
      </w:r>
    </w:p>
    <w:p>
      <w:pPr>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特此承诺</w:t>
      </w:r>
    </w:p>
    <w:p>
      <w:pPr>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承诺人签字：</w:t>
      </w:r>
    </w:p>
    <w:p>
      <w:pPr>
        <w:keepNext w:val="0"/>
        <w:keepLines w:val="0"/>
        <w:pageBreakBefore w:val="0"/>
        <w:kinsoku/>
        <w:overflowPunct/>
        <w:topLinePunct w:val="0"/>
        <w:autoSpaceDE/>
        <w:autoSpaceDN/>
        <w:bidi w:val="0"/>
        <w:spacing w:line="600" w:lineRule="exact"/>
        <w:ind w:firstLine="5440" w:firstLineChars="17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p>
    <w:p>
      <w:pPr>
        <w:keepNext w:val="0"/>
        <w:keepLines w:val="0"/>
        <w:pageBreakBefore w:val="0"/>
        <w:kinsoku/>
        <w:overflowPunct/>
        <w:topLinePunct w:val="0"/>
        <w:autoSpaceDE/>
        <w:autoSpaceDN/>
        <w:bidi w:val="0"/>
        <w:spacing w:line="600" w:lineRule="exact"/>
        <w:jc w:val="left"/>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ind w:firstLine="645"/>
        <w:jc w:val="center"/>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ind w:firstLine="645"/>
        <w:jc w:val="center"/>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ind w:firstLine="645"/>
        <w:jc w:val="center"/>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ind w:firstLine="645"/>
        <w:jc w:val="center"/>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ind w:firstLine="645"/>
        <w:jc w:val="center"/>
        <w:rPr>
          <w:rFonts w:ascii="仿宋" w:hAnsi="仿宋" w:eastAsia="仿宋" w:cs="仿宋"/>
          <w:b/>
          <w:bCs/>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附表3</w:t>
      </w: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drawing>
          <wp:anchor distT="0" distB="0" distL="0" distR="0" simplePos="0" relativeHeight="251672576" behindDoc="0" locked="0" layoutInCell="1" allowOverlap="1">
            <wp:simplePos x="0" y="0"/>
            <wp:positionH relativeFrom="column">
              <wp:posOffset>107950</wp:posOffset>
            </wp:positionH>
            <wp:positionV relativeFrom="paragraph">
              <wp:posOffset>104775</wp:posOffset>
            </wp:positionV>
            <wp:extent cx="5156835" cy="7338060"/>
            <wp:effectExtent l="0" t="0" r="5715" b="15240"/>
            <wp:wrapSquare wrapText="bothSides"/>
            <wp:docPr id="2" name="图片 17" descr="166442257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1664422576994"/>
                    <pic:cNvPicPr>
                      <a:picLocks noChangeAspect="1" noChangeArrowheads="1"/>
                    </pic:cNvPicPr>
                  </pic:nvPicPr>
                  <pic:blipFill>
                    <a:blip r:embed="rId9"/>
                    <a:srcRect/>
                    <a:stretch>
                      <a:fillRect/>
                    </a:stretch>
                  </pic:blipFill>
                  <pic:spPr>
                    <a:xfrm>
                      <a:off x="0" y="0"/>
                      <a:ext cx="5156835" cy="7338060"/>
                    </a:xfrm>
                    <a:prstGeom prst="rect">
                      <a:avLst/>
                    </a:prstGeom>
                    <a:noFill/>
                    <a:ln w="9525">
                      <a:noFill/>
                      <a:miter lim="800000"/>
                      <a:headEnd/>
                      <a:tailEnd/>
                    </a:ln>
                  </pic:spPr>
                </pic:pic>
              </a:graphicData>
            </a:graphic>
          </wp:anchor>
        </w:drawing>
      </w: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附表4</w:t>
      </w:r>
      <w:r>
        <w:rPr>
          <w:rFonts w:hint="eastAsia" w:ascii="仿宋" w:hAnsi="仿宋" w:eastAsia="仿宋" w:cs="仿宋"/>
          <w:color w:val="auto"/>
          <w:sz w:val="32"/>
          <w:szCs w:val="32"/>
          <w:highlight w:val="none"/>
        </w:rPr>
        <mc:AlternateContent>
          <mc:Choice Requires="wps">
            <w:drawing>
              <wp:anchor distT="0" distB="0" distL="114300" distR="114300" simplePos="0" relativeHeight="251670528" behindDoc="0" locked="0" layoutInCell="1" allowOverlap="1">
                <wp:simplePos x="0" y="0"/>
                <wp:positionH relativeFrom="column">
                  <wp:posOffset>3659505</wp:posOffset>
                </wp:positionH>
                <wp:positionV relativeFrom="paragraph">
                  <wp:posOffset>3626485</wp:posOffset>
                </wp:positionV>
                <wp:extent cx="1304925" cy="219075"/>
                <wp:effectExtent l="0" t="0" r="9525" b="9525"/>
                <wp:wrapNone/>
                <wp:docPr id="22" name="矩形 13"/>
                <wp:cNvGraphicFramePr/>
                <a:graphic xmlns:a="http://schemas.openxmlformats.org/drawingml/2006/main">
                  <a:graphicData uri="http://schemas.microsoft.com/office/word/2010/wordprocessingShape">
                    <wps:wsp>
                      <wps:cNvSpPr/>
                      <wps:spPr>
                        <a:xfrm>
                          <a:off x="4802505" y="4937125"/>
                          <a:ext cx="1304925" cy="219075"/>
                        </a:xfrm>
                        <a:prstGeom prst="rect">
                          <a:avLst/>
                        </a:prstGeom>
                        <a:solidFill>
                          <a:srgbClr val="FFFFFF"/>
                        </a:solidFill>
                        <a:ln w="9525">
                          <a:noFill/>
                          <a:miter/>
                        </a:ln>
                        <a:effectLst/>
                      </wps:spPr>
                      <wps:bodyPr vert="horz" anchor="t" upright="1"/>
                    </wps:wsp>
                  </a:graphicData>
                </a:graphic>
              </wp:anchor>
            </w:drawing>
          </mc:Choice>
          <mc:Fallback>
            <w:pict>
              <v:rect id="矩形 13" o:spid="_x0000_s1026" o:spt="1" style="position:absolute;left:0pt;margin-left:288.15pt;margin-top:285.55pt;height:17.25pt;width:102.75pt;z-index:251670528;mso-width-relative:page;mso-height-relative:page;" fillcolor="#FFFFFF" filled="t" stroked="f" coordsize="21600,21600" o:gfxdata="UEsDBAoAAAAAAIdO4kAAAAAAAAAAAAAAAAAEAAAAZHJzL1BLAwQUAAAACACHTuJA2qPkoNgAAAAL&#10;AQAADwAAAGRycy9kb3ducmV2LnhtbE2PwU7DMAyG70i8Q2Qkbiwpo9koTXdA2gk4sCFx9RqvrWic&#10;0qRbeXuyE9xs+dPv7y83s+vFicbQeTaQLRQI4trbjhsDH/vt3RpEiMgWe89k4IcCbKrrqxIL68/8&#10;TqddbEQK4VCggTbGoZAy1C05DAs/EKfb0Y8OY1rHRtoRzync9fJeKS0ddpw+tDjQc0v1125yBlA/&#10;2O+34/J1/zJpfGxmtc0/lTG3N5l6AhFpjn8wXPSTOlTJ6eAntkH0BvKVXib0MmQZiESs1lkqczCg&#10;Va5BVqX836H6BVBLAwQUAAAACACHTuJA1Mr198gBAABXAwAADgAAAGRycy9lMm9Eb2MueG1srVNL&#10;bhsxDN0X6B0E7ev5OG7igeUsGjiboA2Q9gCyRpoRoB8oxWPnMgG66yF6nKLXKCW7aZLuinohk9Lj&#10;Ix/JWV3urSE7CVF7x2gzqymRTvheu4HRL5837y4oiYm7nhvvJKMHGenl+u2b1RQ62frRm14CQRIX&#10;uykwOqYUuqqKYpSWx5kP0uGj8mB5QheGqgc+Ibs1VVvX76vJQx/ACxkj3l4dH+m68CslRfqkVJSJ&#10;GEaxtlROKOc2n9V6xbsBeBi1OJXB/6EKy7XDpE9UVzxxcg/6LyqrBfjoVZoJbyuvlBayaEA1Tf1K&#10;zd3IgyxasDkxPLUp/j9a8XF3C0T3jLYtJY5bnNHPx28/vn8lzTx3ZwqxQ9BduIWTF9HMUvcKbP5H&#10;EWTP6NlF3S7qBSUHtJfz86ZdHLsr94kIBDTz+myJl0Qgom2W9XkBVH+YAsR0Lb0l2WAUcHqlqXx3&#10;ExNmR+hvSE4cvdH9RhtTHBi2HwyQHcdJb8ovp8eQFzDjyMTocoF15CjnczzieGd1klkiRhiXL2RZ&#10;n1Pm3Iaj8GxtfX/AtuHeY5mjhwdKuBNoMJoouQ+ghxFfmlJBDsDpFebTpuX1eO6j/fx7W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qPkoNgAAAALAQAADwAAAAAAAAABACAAAAAiAAAAZHJzL2Rv&#10;d25yZXYueG1sUEsBAhQAFAAAAAgAh07iQNTK9ffIAQAAVwMAAA4AAAAAAAAAAQAgAAAAJwEAAGRy&#10;cy9lMm9Eb2MueG1sUEsFBgAAAAAGAAYAWQEAAGEFA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9504" behindDoc="0" locked="0" layoutInCell="1" allowOverlap="1">
                <wp:simplePos x="0" y="0"/>
                <wp:positionH relativeFrom="column">
                  <wp:posOffset>1621155</wp:posOffset>
                </wp:positionH>
                <wp:positionV relativeFrom="paragraph">
                  <wp:posOffset>3359785</wp:posOffset>
                </wp:positionV>
                <wp:extent cx="466725" cy="180975"/>
                <wp:effectExtent l="0" t="0" r="9525" b="9525"/>
                <wp:wrapNone/>
                <wp:docPr id="21" name="矩形 12"/>
                <wp:cNvGraphicFramePr/>
                <a:graphic xmlns:a="http://schemas.openxmlformats.org/drawingml/2006/main">
                  <a:graphicData uri="http://schemas.microsoft.com/office/word/2010/wordprocessingShape">
                    <wps:wsp>
                      <wps:cNvSpPr/>
                      <wps:spPr>
                        <a:xfrm>
                          <a:off x="2764155" y="4670425"/>
                          <a:ext cx="466725" cy="180975"/>
                        </a:xfrm>
                        <a:prstGeom prst="rect">
                          <a:avLst/>
                        </a:prstGeom>
                        <a:solidFill>
                          <a:srgbClr val="FFFFFF"/>
                        </a:solidFill>
                        <a:ln w="9525">
                          <a:noFill/>
                          <a:miter/>
                        </a:ln>
                        <a:effectLst/>
                      </wps:spPr>
                      <wps:bodyPr vert="horz" anchor="t" upright="1"/>
                    </wps:wsp>
                  </a:graphicData>
                </a:graphic>
              </wp:anchor>
            </w:drawing>
          </mc:Choice>
          <mc:Fallback>
            <w:pict>
              <v:rect id="矩形 12" o:spid="_x0000_s1026" o:spt="1" style="position:absolute;left:0pt;margin-left:127.65pt;margin-top:264.55pt;height:14.25pt;width:36.75pt;z-index:251669504;mso-width-relative:page;mso-height-relative:page;" fillcolor="#FFFFFF" filled="t" stroked="f" coordsize="21600,21600" o:gfxdata="UEsDBAoAAAAAAIdO4kAAAAAAAAAAAAAAAAAEAAAAZHJzL1BLAwQUAAAACACHTuJA1kS9qtgAAAAL&#10;AQAADwAAAGRycy9kb3ducmV2LnhtbE2PwU7DMAyG70i8Q2QkbixpS8tWmu6AtBNwYEPi6jVZW9E4&#10;pUm38vaYExxtf/r9/dV2cYM42yn0njQkKwXCUuNNT62G98Pubg0iRCSDgyer4dsG2NbXVxWWxl/o&#10;zZ73sRUcQqFEDV2MYyllaDrrMKz8aIlvJz85jDxOrTQTXjjcDTJVqpAOe+IPHY72qbPN5352GrC4&#10;N1+vp+zl8DwXuGkXtcs/lNa3N4l6BBHtEv9g+NVndajZ6ehnMkEMGtI8zxjVkKebBAQTWbrmMkfe&#10;5A8FyLqS/zvUP1BLAwQUAAAACACHTuJARs/HEccBAABWAwAADgAAAGRycy9lMm9Eb2MueG1srVPN&#10;jhMxDL4j8Q5R7nR+1E53R033wKpcEKy07AOkmWQmUv7kZDstL4PEjYfgcRCvgZOWZYEbYg4ZO7Y/&#10;+7Odzc3RGnKQELV3jDaLmhLphB+0Gxl9+LB7dUVJTNwN3HgnGT3JSG+2L19s5tDL1k/eDBIIgrjY&#10;z4HRKaXQV1UUk7Q8LnyQDo3Kg+UJVRirAfiM6NZUbV131exhCOCFjBFvb89Gui34SkmR3isVZSKG&#10;UawtlRPKuc9ntd3wfgQeJi0uZfB/qMJy7TDpE9QtT5w8gv4LymoBPnqVFsLbyiulhSwckE1T/8Hm&#10;fuJBFi7YnBie2hT/H6x4d7gDogdG24YSxy3O6PunL9++fiZNm7szh9ij0324g4sWUcxUjwps/iMJ&#10;csT4dbdsVitKTowuu3W9bFfn7spjIgIdll23xjsi0KG5qq/XxV79AgoQ0xvpLckCo4DDKz3lh7cx&#10;YXJ0/emS80Zv9LDTxhQFxv1rA+TAcdC78uXsGPKbm3FkZvR6hXXkKOdzPPrx3uokM0OMMC5fyLI9&#10;l8y5C2feWdr74YRdw7XHMicPHynhTqDAaKLkMYAeJ7Q0pYIcgMMryJdFy9vxXEf5+XPY/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RL2q2AAAAAsBAAAPAAAAAAAAAAEAIAAAACIAAABkcnMvZG93&#10;bnJldi54bWxQSwECFAAUAAAACACHTuJARs/HEccBAABWAwAADgAAAAAAAAABACAAAAAnAQAAZHJz&#10;L2Uyb0RvYy54bWxQSwUGAAAAAAYABgBZAQAAYAU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3678555</wp:posOffset>
                </wp:positionH>
                <wp:positionV relativeFrom="paragraph">
                  <wp:posOffset>2159635</wp:posOffset>
                </wp:positionV>
                <wp:extent cx="1076325" cy="200025"/>
                <wp:effectExtent l="0" t="0" r="9525" b="9525"/>
                <wp:wrapNone/>
                <wp:docPr id="20" name="矩形 11"/>
                <wp:cNvGraphicFramePr/>
                <a:graphic xmlns:a="http://schemas.openxmlformats.org/drawingml/2006/main">
                  <a:graphicData uri="http://schemas.microsoft.com/office/word/2010/wordprocessingShape">
                    <wps:wsp>
                      <wps:cNvSpPr/>
                      <wps:spPr>
                        <a:xfrm>
                          <a:off x="4821555" y="3470275"/>
                          <a:ext cx="1076325" cy="200025"/>
                        </a:xfrm>
                        <a:prstGeom prst="rect">
                          <a:avLst/>
                        </a:prstGeom>
                        <a:solidFill>
                          <a:srgbClr val="FFFFFF"/>
                        </a:solidFill>
                        <a:ln w="9525">
                          <a:noFill/>
                          <a:miter/>
                        </a:ln>
                        <a:effectLst/>
                      </wps:spPr>
                      <wps:bodyPr vert="horz" anchor="t" upright="1"/>
                    </wps:wsp>
                  </a:graphicData>
                </a:graphic>
              </wp:anchor>
            </w:drawing>
          </mc:Choice>
          <mc:Fallback>
            <w:pict>
              <v:rect id="矩形 11" o:spid="_x0000_s1026" o:spt="1" style="position:absolute;left:0pt;margin-left:289.65pt;margin-top:170.05pt;height:15.75pt;width:84.75pt;z-index:251668480;mso-width-relative:page;mso-height-relative:page;" fillcolor="#FFFFFF" filled="t" stroked="f" coordsize="21600,21600" o:gfxdata="UEsDBAoAAAAAAIdO4kAAAAAAAAAAAAAAAAAEAAAAZHJzL1BLAwQUAAAACACHTuJAZVYX+9kAAAAL&#10;AQAADwAAAGRycy9kb3ducmV2LnhtbE2PwU7DMAyG70i8Q2Qkbiwp3dqtNN0BaSfgwIbE1Wu8tqJJ&#10;SpNu5e0xJ3a0/en395fb2fbiTGPovNOQLBQIcrU3nWs0fBx2D2sQIaIz2HtHGn4owLa6vSmxMP7i&#10;3um8j43gEBcK1NDGOBRShroli2HhB3J8O/nRYuRxbKQZ8cLhtpePSmXSYuf4Q4sDPbdUf+0nqwGz&#10;pfl+O6Wvh5cpw00zq93qU2l9f5eoJxCR5vgPw58+q0PFTkc/ORNEr2GVb1JGNaRLlYBgIl+uucyR&#10;N3mSgaxKed2h+gVQSwMEFAAAAAgAh07iQMvZgTnFAQAAVwMAAA4AAABkcnMvZTJvRG9jLnhtbK1T&#10;S24UMRDdI3EHy3umP0lnQms8WRANGwSRAgfwuO1uS/6p7EzPcBkkdhyC4yCuQdnThAA7RC/cVXb5&#10;Vb1X5c3N0RpykBC1d4w2q5oS6YQftBsZ/fB+9+Kakpi4G7jxTjJ6kpHebJ8/28yhl62fvBkkEARx&#10;sZ8Do1NKoa+qKCZpeVz5IB0eKg+WJ3RhrAbgM6JbU7V1fVXNHoYAXsgYcff2fEi3BV8pKdI7paJM&#10;xDCKtaWyQln3ea22G96PwMOkxVIG/4cqLNcOkz5C3fLEyQPov6CsFuCjV2klvK28UlrIwgHZNPUf&#10;bO4nHmThguLE8ChT/H+w4u3hDogeGG1RHsct9uj7py/fvn4mTZPVmUPsMeg+3MHiRTQz1aMCm/9I&#10;ghwZvbxum67rKDkxenG5rtt1d1ZXHhMRGNDU66uLFgMERmDvarQRsvqFFCCm19Jbkg1GAbtXROWH&#10;NzGdQ3+G5MTRGz3stDHFgXH/ygA5cOz0rnwL+m9hxpGZ0Zcd5s63nM/3EZr3VieZKWI9xuUNWcZn&#10;yZxlOBPP1t4PJ5QN5x7LnDx8pIQ7gQajiZKHAHqc8KQIWOUL2L2CvExaHo+nPtpP38P2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VWF/vZAAAACwEAAA8AAAAAAAAAAQAgAAAAIgAAAGRycy9kb3du&#10;cmV2LnhtbFBLAQIUABQAAAAIAIdO4kDL2YE5xQEAAFcDAAAOAAAAAAAAAAEAIAAAACgBAABkcnMv&#10;ZTJvRG9jLnhtbFBLBQYAAAAABgAGAFkBAABfBQ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7456" behindDoc="0" locked="0" layoutInCell="1" allowOverlap="1">
                <wp:simplePos x="0" y="0"/>
                <wp:positionH relativeFrom="column">
                  <wp:posOffset>1116330</wp:posOffset>
                </wp:positionH>
                <wp:positionV relativeFrom="paragraph">
                  <wp:posOffset>1854835</wp:posOffset>
                </wp:positionV>
                <wp:extent cx="1876425" cy="247650"/>
                <wp:effectExtent l="0" t="0" r="9525" b="0"/>
                <wp:wrapNone/>
                <wp:docPr id="19" name="矩形 10"/>
                <wp:cNvGraphicFramePr/>
                <a:graphic xmlns:a="http://schemas.openxmlformats.org/drawingml/2006/main">
                  <a:graphicData uri="http://schemas.microsoft.com/office/word/2010/wordprocessingShape">
                    <wps:wsp>
                      <wps:cNvSpPr/>
                      <wps:spPr>
                        <a:xfrm>
                          <a:off x="2259330" y="3165475"/>
                          <a:ext cx="1876425" cy="247650"/>
                        </a:xfrm>
                        <a:prstGeom prst="rect">
                          <a:avLst/>
                        </a:prstGeom>
                        <a:solidFill>
                          <a:srgbClr val="FFFFFF"/>
                        </a:solidFill>
                        <a:ln w="9525">
                          <a:noFill/>
                          <a:miter/>
                        </a:ln>
                        <a:effectLst/>
                      </wps:spPr>
                      <wps:bodyPr vert="horz" anchor="t" upright="1"/>
                    </wps:wsp>
                  </a:graphicData>
                </a:graphic>
              </wp:anchor>
            </w:drawing>
          </mc:Choice>
          <mc:Fallback>
            <w:pict>
              <v:rect id="矩形 10" o:spid="_x0000_s1026" o:spt="1" style="position:absolute;left:0pt;margin-left:87.9pt;margin-top:146.05pt;height:19.5pt;width:147.75pt;z-index:251667456;mso-width-relative:page;mso-height-relative:page;" fillcolor="#FFFFFF" filled="t" stroked="f" coordsize="21600,21600" o:gfxdata="UEsDBAoAAAAAAIdO4kAAAAAAAAAAAAAAAAAEAAAAZHJzL1BLAwQUAAAACACHTuJA7Zto9NkAAAAL&#10;AQAADwAAAGRycy9kb3ducmV2LnhtbE2PMW/CMBSE90r9D9ar1K3YTiCUNA5DJaaWoYDE+ogfSdTY&#10;TmMH0n9fM5XxdKe774r1ZDp2ocG3ziqQMwGMbOV0a2sFh/3m5RWYD2g1ds6Sgl/ysC4fHwrMtbva&#10;L7rsQs1iifU5KmhC6HPOfdWQQT9zPdnond1gMEQ51FwPeI3lpuOJEBk32Nq40GBP7w1V37vRKMBs&#10;rn+25/Rz/zFmuKonsVkchVLPT1K8AQs0hf8w3PAjOpSR6eRGqz3rol4uInpQkKwSCSwm5kuZAjsp&#10;SFMpgZcFv/9Q/gFQSwMEFAAAAAgAh07iQPPFimLIAQAAVwMAAA4AAABkcnMvZTJvRG9jLnhtbK1T&#10;zY7TMBC+I/EOlu80Tdq026juHliVC4KVFh7AdezEkv809jYtL4PEjYfgcRCvwdhbdhe4IXJwZuKZ&#10;b+b7ZrK9PllDjhKi9o7RejanRDrhe+0GRj9+2L+6oiQm7npuvJOMnmWk17uXL7ZT6GTjR296CQRB&#10;XOymwOiYUuiqKopRWh5nPkiHl8qD5QldGKoe+ITo1lTNfL6qJg99AC9kjPj15uGS7gq+UlKk90pF&#10;mYhhFHtL5YRyHvJZ7ba8G4CHUYtLG/wfurBcOyz6CHXDEyf3oP+CslqAj16lmfC28kppIQsHZFPP&#10;/2BzN/IgCxcUJ4ZHmeL/gxXvjrdAdI+z21DiuMUZ/fj89fu3L6Qu6kwhdhh0F24BtcpeRDNTPSmw&#10;+Y0kyInRpmk3iwVqfGZ0Ua/a5bp9UFeeEhEYUF+tV8umpURgRLNcr9pSoHpCChDTG+ktyQajgNMr&#10;ovLj25iwOob+CsmFoze632tjigPD4bUBcuQ46X15cnlM+S3MODIxummxj5zlfM4vS2B1kpkiZhiX&#10;72RZn0vlJ+LZOvj+jLLh3mObo4dPlHAn0GA0UXIfQA8j3tSlg5yA0yvIl03L6/HcR/v5/7D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2baPTZAAAACwEAAA8AAAAAAAAAAQAgAAAAIgAAAGRycy9k&#10;b3ducmV2LnhtbFBLAQIUABQAAAAIAIdO4kDzxYpiyAEAAFcDAAAOAAAAAAAAAAEAIAAAACgBAABk&#10;cnMvZTJvRG9jLnhtbFBLBQYAAAAABgAGAFkBAABiBQ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6432" behindDoc="0" locked="0" layoutInCell="1" allowOverlap="1">
                <wp:simplePos x="0" y="0"/>
                <wp:positionH relativeFrom="column">
                  <wp:posOffset>4392930</wp:posOffset>
                </wp:positionH>
                <wp:positionV relativeFrom="paragraph">
                  <wp:posOffset>1607185</wp:posOffset>
                </wp:positionV>
                <wp:extent cx="295275" cy="152400"/>
                <wp:effectExtent l="0" t="0" r="9525" b="0"/>
                <wp:wrapNone/>
                <wp:docPr id="18" name="矩形 9"/>
                <wp:cNvGraphicFramePr/>
                <a:graphic xmlns:a="http://schemas.openxmlformats.org/drawingml/2006/main">
                  <a:graphicData uri="http://schemas.microsoft.com/office/word/2010/wordprocessingShape">
                    <wps:wsp>
                      <wps:cNvSpPr/>
                      <wps:spPr>
                        <a:xfrm>
                          <a:off x="5535930" y="2917825"/>
                          <a:ext cx="295275" cy="152400"/>
                        </a:xfrm>
                        <a:prstGeom prst="rect">
                          <a:avLst/>
                        </a:prstGeom>
                        <a:solidFill>
                          <a:srgbClr val="FFFFFF"/>
                        </a:solidFill>
                        <a:ln w="9525">
                          <a:noFill/>
                          <a:miter/>
                        </a:ln>
                        <a:effectLst/>
                      </wps:spPr>
                      <wps:bodyPr vert="horz" anchor="t" upright="1"/>
                    </wps:wsp>
                  </a:graphicData>
                </a:graphic>
              </wp:anchor>
            </w:drawing>
          </mc:Choice>
          <mc:Fallback>
            <w:pict>
              <v:rect id="矩形 9" o:spid="_x0000_s1026" o:spt="1" style="position:absolute;left:0pt;margin-left:345.9pt;margin-top:126.55pt;height:12pt;width:23.25pt;z-index:251666432;mso-width-relative:page;mso-height-relative:page;" fillcolor="#FFFFFF" filled="t" stroked="f" coordsize="21600,21600" o:gfxdata="UEsDBAoAAAAAAIdO4kAAAAAAAAAAAAAAAAAEAAAAZHJzL1BLAwQUAAAACACHTuJAXa1J8NkAAAAL&#10;AQAADwAAAGRycy9kb3ducmV2LnhtbE2PwU7DMBBE70j8g7VI3KidhiZtiNMDUk/AgRaJ6zbeJhGx&#10;HWKnDX/PcqLHnR3NvCm3s+3FmcbQeachWSgQ5GpvOtdo+DjsHtYgQkRnsPeONPxQgG11e1NiYfzF&#10;vdN5HxvBIS4UqKGNcSikDHVLFsPCD+T4d/Kjxcjn2Egz4oXDbS+XSmXSYue4ocWBnluqv/aT1YDZ&#10;o/l+O6Wvh5cpw00zq93qU2l9f5eoJxCR5vhvhj98RoeKmY5+ciaIXkO2SRg9aliu0gQEO/J0nYI4&#10;spLnCciqlNcbql9QSwMEFAAAAAgAh07iQOH5uI/HAQAAVQMAAA4AAABkcnMvZTJvRG9jLnhtbK1T&#10;S27bMBDdF8gdCO5rfRI1sWA6iwbupmgDJDkATZESAf4wZCy7lynQXQ/R4xS9Roe0k6btrqgW1Iw4&#10;82bem9Hqem8N2UmI2jtGm0VNiXTCD9qNjD7cb15fURITdwM33klGDzLS6/XZq9Ucetn6yZtBAkEQ&#10;F/s5MDqlFPqqimKSlseFD9LhpfJgeUIXxmoAPiO6NVVb12+q2cMQwAsZI369OV7SdcFXSor0Uako&#10;EzGMYm+pnFDObT6r9Yr3I/AwaXFqg/9DF5Zrh0WfoW544uQR9F9QVgvw0au0EN5WXiktZOGAbJr6&#10;DzZ3Ew+ycEFxYniWKf4/WPFhdwtEDzg7nJTjFmf04/PX79++kGUWZw6xx5i7cAsnL6KZme4V2PxG&#10;DmTPaNedd8tzlPjAaLtsLq/a7iiu3CciMKBddu1lR4nAgKZrL+oifvULKEBM76S3JBuMAs6uSMp3&#10;72PC4hj6FJLrRm/0sNHGFAfG7VsDZMdxzpvy5OqY8luYcWRmFBvpCrLzOR/jeG91kpkhZhiXP8iy&#10;PKfKWYUj72xt/XBA0XDrsc3JwydKuBNoMJooeQygxwlvmtJBTsDZFeTTnuXleOmj/fJvW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a1J8NkAAAALAQAADwAAAAAAAAABACAAAAAiAAAAZHJzL2Rv&#10;d25yZXYueG1sUEsBAhQAFAAAAAgAh07iQOH5uI/HAQAAVQMAAA4AAAAAAAAAAQAgAAAAKAEAAGRy&#10;cy9lMm9Eb2MueG1sUEsFBgAAAAAGAAYAWQEAAGEFA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4202430</wp:posOffset>
                </wp:positionH>
                <wp:positionV relativeFrom="paragraph">
                  <wp:posOffset>1169035</wp:posOffset>
                </wp:positionV>
                <wp:extent cx="571500" cy="219075"/>
                <wp:effectExtent l="0" t="0" r="0" b="9525"/>
                <wp:wrapNone/>
                <wp:docPr id="16" name="矩形 8"/>
                <wp:cNvGraphicFramePr/>
                <a:graphic xmlns:a="http://schemas.openxmlformats.org/drawingml/2006/main">
                  <a:graphicData uri="http://schemas.microsoft.com/office/word/2010/wordprocessingShape">
                    <wps:wsp>
                      <wps:cNvSpPr/>
                      <wps:spPr>
                        <a:xfrm>
                          <a:off x="5345430" y="2479675"/>
                          <a:ext cx="571500" cy="219075"/>
                        </a:xfrm>
                        <a:prstGeom prst="rect">
                          <a:avLst/>
                        </a:prstGeom>
                        <a:solidFill>
                          <a:srgbClr val="FFFFFF"/>
                        </a:solidFill>
                        <a:ln w="9525">
                          <a:noFill/>
                          <a:miter/>
                        </a:ln>
                        <a:effectLst/>
                      </wps:spPr>
                      <wps:bodyPr vert="horz" anchor="t" upright="1"/>
                    </wps:wsp>
                  </a:graphicData>
                </a:graphic>
              </wp:anchor>
            </w:drawing>
          </mc:Choice>
          <mc:Fallback>
            <w:pict>
              <v:rect id="矩形 8" o:spid="_x0000_s1026" o:spt="1" style="position:absolute;left:0pt;margin-left:330.9pt;margin-top:92.05pt;height:17.25pt;width:45pt;z-index:251665408;mso-width-relative:page;mso-height-relative:page;" fillcolor="#FFFFFF" filled="t" stroked="f" coordsize="21600,21600" o:gfxdata="UEsDBAoAAAAAAIdO4kAAAAAAAAAAAAAAAAAEAAAAZHJzL1BLAwQUAAAACACHTuJAXjU1d9gAAAAL&#10;AQAADwAAAGRycy9kb3ducmV2LnhtbE2PwU7DMBBE70j8g7VI3Kid0poQ4vSA1BNwoEXiuo3dJCJe&#10;h9hpw9+zPcFxdkYzb8vN7HtxcmPsAhnIFgqEozrYjhoDH/vtXQ4iJiSLfSBn4MdF2FTXVyUWNpzp&#10;3Z12qRFcQrFAA21KQyFlrFvnMS7C4Ii9Yxg9JpZjI+2IZy73vVwqpaXHjnihxcE9t67+2k3eAOqV&#10;/X473r/uXyaNj82stutPZcztTaaeQCQ3p78wXPAZHSpmOoSJbBS9Aa0zRk9s5KsMBCce1pfLwcAy&#10;yzXIqpT/f6h+AVBLAwQUAAAACACHTuJAPUITS8UBAABVAwAADgAAAGRycy9lMm9Eb2MueG1srVPN&#10;jtMwEL4j8Q6W7zRJt2m3Ud09sCoXBCvt8gCuYyeW/Kext2l5GSRuPASPg3gNxm5ZFrghcnDGmZlv&#10;5vtmsrk5WkMOEqL2jtFmVlMinfC9dgOjHx52r64piYm7nhvvJKMnGenN9uWLzRQ6OfejN70EgiAu&#10;dlNgdEwpdFUVxSgtjzMfpEOn8mB5wisMVQ98QnRrqnldL6vJQx/ACxkjfr09O+m24CslRXqvVJSJ&#10;GEaxt1ROKOc+n9V2w7sBeBi1uLTB/6ELy7XDok9Qtzxx8gj6LyirBfjoVZoJbyuvlBaycEA2Tf0H&#10;m/uRB1m4oDgxPMkU/x+seHe4A6J7nN2SEsctzuj7py/fvn4m11mcKcQOY+7DHVxuEc3M9KjA5jdy&#10;IEdG26tFu7hCiU+Mzher9XLVnsWVx0REDlg1bY1+kQOadX32V7+AAsT0RnpLssEo4OyKpPzwNiYs&#10;jqE/Q3Ld6I3ud9qYcoFh/9oAOXCc8648uTqm/BZmHJkYXbfztiA7n/MxjndWJ5kZYoZx+YMsy3Op&#10;nFU4887W3vcnFA23HtscPXykhDuBBqOJkscAehjR05QOcgLOriBf9iwvx/M72s//hu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jU1d9gAAAALAQAADwAAAAAAAAABACAAAAAiAAAAZHJzL2Rvd25y&#10;ZXYueG1sUEsBAhQAFAAAAAgAh07iQD1CE0vFAQAAVQMAAA4AAAAAAAAAAQAgAAAAJwEAAGRycy9l&#10;Mm9Eb2MueG1sUEsFBgAAAAAGAAYAWQEAAF4FA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1116330</wp:posOffset>
                </wp:positionH>
                <wp:positionV relativeFrom="paragraph">
                  <wp:posOffset>1178560</wp:posOffset>
                </wp:positionV>
                <wp:extent cx="2609850" cy="276225"/>
                <wp:effectExtent l="0" t="0" r="0" b="9525"/>
                <wp:wrapNone/>
                <wp:docPr id="17" name="矩形 7"/>
                <wp:cNvGraphicFramePr/>
                <a:graphic xmlns:a="http://schemas.openxmlformats.org/drawingml/2006/main">
                  <a:graphicData uri="http://schemas.microsoft.com/office/word/2010/wordprocessingShape">
                    <wps:wsp>
                      <wps:cNvSpPr/>
                      <wps:spPr>
                        <a:xfrm>
                          <a:off x="2259330" y="2489200"/>
                          <a:ext cx="2609850" cy="276225"/>
                        </a:xfrm>
                        <a:prstGeom prst="rect">
                          <a:avLst/>
                        </a:prstGeom>
                        <a:solidFill>
                          <a:srgbClr val="FFFFFF"/>
                        </a:solidFill>
                        <a:ln w="9525">
                          <a:noFill/>
                          <a:miter/>
                        </a:ln>
                        <a:effectLst/>
                      </wps:spPr>
                      <wps:bodyPr vert="horz" anchor="t" upright="1"/>
                    </wps:wsp>
                  </a:graphicData>
                </a:graphic>
              </wp:anchor>
            </w:drawing>
          </mc:Choice>
          <mc:Fallback>
            <w:pict>
              <v:rect id="矩形 7" o:spid="_x0000_s1026" o:spt="1" style="position:absolute;left:0pt;margin-left:87.9pt;margin-top:92.8pt;height:21.75pt;width:205.5pt;z-index:251665408;mso-width-relative:page;mso-height-relative:page;" fillcolor="#FFFFFF" filled="t" stroked="f" coordsize="21600,21600" o:gfxdata="UEsDBAoAAAAAAIdO4kAAAAAAAAAAAAAAAAAEAAAAZHJzL1BLAwQUAAAACACHTuJASTy62dgAAAAL&#10;AQAADwAAAGRycy9kb3ducmV2LnhtbE2PMU/DMBCFdyT+g3VIbNROICENcTogdQIGWiTWa+wmEfE5&#10;xE4b/j3HRLd7d0/vvldtFjeIk51C70lDslIgLDXe9NRq+Nhv7woQISIZHDxZDT82wKa+vqqwNP5M&#10;7/a0i63gEAolauhiHEspQ9NZh2HlR0t8O/rJYWQ5tdJMeOZwN8hUqVw67Ik/dDja5842X7vZacD8&#10;wXy/He9f9y9zjut2UdvsU2l9e5OoJxDRLvHfDH/4jA41Mx38TCaIgfVjxuiRhyLLQbAjK3LeHDSk&#10;6ToBWVfyskP9C1BLAwQUAAAACACHTuJAT0Mo9sMBAABWAwAADgAAAGRycy9lMm9Eb2MueG1srVNL&#10;btswEN0XyB0I7mPJTv0TTGeRwN0UbYC0B6ApUiLAH4aMZfcyBbrrIXqcotfokFbTJN0V0YKaEd+8&#10;mTcz2lwfrSEHCVF7x+h0UlMinfCtdh2jnz/tLleUxMRdy413ktGTjPR6e/FmM4RGznzvTSuBIImL&#10;zRAY7VMKTVVF0UvL48QH6fBSebA8oQtd1QIfkN2aalbXi2rw0AbwQsaIX2/Pl3Rb+JWSIn1UKspE&#10;DKNYWyonlHOfz2q74U0HPPRajGXw/6jCcu0w6SPVLU+cPID+h8pqAT56lSbC28orpYUsGlDNtH6h&#10;5r7nQRYt2JwYHtsUX49WfDjcAdEtzm5JieMWZ/Tr6/efP76RZW7OEGKDmPtwB6MX0cxKjwpsfqMG&#10;cmR0Npuvr66wxSe0367WOJxzc+UxEZEBi3q9miNAZMRygQEZUP1lChDTO+ktyQajgMMrPeWH9zGd&#10;oX8gOXH0Rrc7bUxxoNvfGCAHjoPelWdkfwYzjgyMrueYO0c5n+ORmjdWJ5klYj3G5Q+ybM+YObfh&#10;LDxbe9+esGu49lhm7+ELJdwJNBhNlDwE0F2PN9NSQQ7A4RXmcdHydjz10X76O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k8utnYAAAACwEAAA8AAAAAAAAAAQAgAAAAIgAAAGRycy9kb3ducmV2&#10;LnhtbFBLAQIUABQAAAAIAIdO4kBPQyj2wwEAAFYDAAAOAAAAAAAAAAEAIAAAACcBAABkcnMvZTJv&#10;RG9jLnhtbFBLBQYAAAAABgAGAFkBAABcBQ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4221480</wp:posOffset>
                </wp:positionH>
                <wp:positionV relativeFrom="paragraph">
                  <wp:posOffset>911860</wp:posOffset>
                </wp:positionV>
                <wp:extent cx="514350" cy="219075"/>
                <wp:effectExtent l="0" t="0" r="0" b="9525"/>
                <wp:wrapNone/>
                <wp:docPr id="15" name="矩形 6"/>
                <wp:cNvGraphicFramePr/>
                <a:graphic xmlns:a="http://schemas.openxmlformats.org/drawingml/2006/main">
                  <a:graphicData uri="http://schemas.microsoft.com/office/word/2010/wordprocessingShape">
                    <wps:wsp>
                      <wps:cNvSpPr/>
                      <wps:spPr>
                        <a:xfrm>
                          <a:off x="5364480" y="2222500"/>
                          <a:ext cx="514350" cy="219075"/>
                        </a:xfrm>
                        <a:prstGeom prst="rect">
                          <a:avLst/>
                        </a:prstGeom>
                        <a:solidFill>
                          <a:srgbClr val="FFFFFF"/>
                        </a:solidFill>
                        <a:ln w="9525">
                          <a:noFill/>
                          <a:miter/>
                        </a:ln>
                        <a:effectLst/>
                      </wps:spPr>
                      <wps:bodyPr vert="horz" anchor="t" upright="1"/>
                    </wps:wsp>
                  </a:graphicData>
                </a:graphic>
              </wp:anchor>
            </w:drawing>
          </mc:Choice>
          <mc:Fallback>
            <w:pict>
              <v:rect id="矩形 6" o:spid="_x0000_s1026" o:spt="1" style="position:absolute;left:0pt;margin-left:332.4pt;margin-top:71.8pt;height:17.25pt;width:40.5pt;z-index:251664384;mso-width-relative:page;mso-height-relative:page;" fillcolor="#FFFFFF" filled="t" stroked="f" coordsize="21600,21600" o:gfxdata="UEsDBAoAAAAAAIdO4kAAAAAAAAAAAAAAAAAEAAAAZHJzL1BLAwQUAAAACACHTuJAZ1xIVNcAAAAL&#10;AQAADwAAAGRycy9kb3ducmV2LnhtbE2PwU7DMBBE70j8g7VI3KgdmrolxOkBqSfgQIvEdRu7SUS8&#10;DrHThr9nOcFxZ0azb8rt7HtxdmPsAhnIFgqEozrYjhoD74fd3QZETEgW+0DOwLeLsK2ur0osbLjQ&#10;mzvvUyO4hGKBBtqUhkLKWLfOY1yEwRF7pzB6THyOjbQjXrjc9/JeKS09dsQfWhzcU+vqz/3kDaDO&#10;7dfraflyeJ40PjSz2q0+lDG3N5l6BJHcnP7C8IvP6FAx0zFMZKPoDWidM3piI19qEJxY5ytWjqys&#10;NxnIqpT/N1Q/UEsDBBQAAAAIAIdO4kBJpB2RwgEAAFUDAAAOAAAAZHJzL2Uyb0RvYy54bWytU82O&#10;0zAQviPxDpbvNEm3KbtR3T2wKhcEKy08gOvYiSX/aextWl4GiRsPweMgXoOxG5bd5YbwwZnxjD/P&#10;981kc320hhwkRO0do82ipkQ64XvtBkY/fdy9uqQkJu56bryTjJ5kpNfbly82U+jk0o/e9BIIgrjY&#10;TYHRMaXQVVUUo7Q8LnyQDoPKg+UJXRiqHviE6NZUy7peV5OHPoAXMkY8vTkH6bbgKyVF+qBUlIkY&#10;RrG2VHYo+z7v1XbDuwF4GLWYy+D/UIXl2uGjD1A3PHFyD/ovKKsF+OhVWghvK6+UFrJwQDZN/YzN&#10;3ciDLFxQnBgeZIr/D1a8P9wC0T32rqXEcYs9+vnl24/vX8k6izOF2GHOXbiF2YtoZqZHBTZ/kQM5&#10;MtperFerS5T4xOgSV1vP4spjIiInNKuLFuMiJzRX9es241d/gALE9FZ6S7LBKGDviqT88C6mc+rv&#10;lPxu9Eb3O21McWDYvzFADhz7vCtrRn+SZhyZGL1ql21Bdj7fR2jeWZ1kZoj1GJcPZBme+eWswpl3&#10;tva+P6FoOPVY5ujhMyXcCTQYTZTcB9DDiJGmVJAvYO8K8jxneTge+2g//hu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nXEhU1wAAAAsBAAAPAAAAAAAAAAEAIAAAACIAAABkcnMvZG93bnJldi54&#10;bWxQSwECFAAUAAAACACHTuJASaQdkcIBAABVAwAADgAAAAAAAAABACAAAAAmAQAAZHJzL2Uyb0Rv&#10;Yy54bWxQSwUGAAAAAAYABgBZAQAAWgU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1097280</wp:posOffset>
                </wp:positionH>
                <wp:positionV relativeFrom="paragraph">
                  <wp:posOffset>910590</wp:posOffset>
                </wp:positionV>
                <wp:extent cx="1114425" cy="209550"/>
                <wp:effectExtent l="0" t="0" r="9525" b="0"/>
                <wp:wrapNone/>
                <wp:docPr id="14" name="矩形 5"/>
                <wp:cNvGraphicFramePr/>
                <a:graphic xmlns:a="http://schemas.openxmlformats.org/drawingml/2006/main">
                  <a:graphicData uri="http://schemas.microsoft.com/office/word/2010/wordprocessingShape">
                    <wps:wsp>
                      <wps:cNvSpPr/>
                      <wps:spPr>
                        <a:xfrm>
                          <a:off x="2240280" y="2221230"/>
                          <a:ext cx="1114425" cy="209550"/>
                        </a:xfrm>
                        <a:prstGeom prst="rect">
                          <a:avLst/>
                        </a:prstGeom>
                        <a:solidFill>
                          <a:srgbClr val="FFFFFF"/>
                        </a:solidFill>
                        <a:ln w="9525">
                          <a:noFill/>
                          <a:miter/>
                        </a:ln>
                        <a:effectLst/>
                      </wps:spPr>
                      <wps:bodyPr vert="horz" anchor="t" upright="1"/>
                    </wps:wsp>
                  </a:graphicData>
                </a:graphic>
              </wp:anchor>
            </w:drawing>
          </mc:Choice>
          <mc:Fallback>
            <w:pict>
              <v:rect id="矩形 5" o:spid="_x0000_s1026" o:spt="1" style="position:absolute;left:0pt;margin-left:86.4pt;margin-top:71.7pt;height:16.5pt;width:87.75pt;z-index:251663360;mso-width-relative:page;mso-height-relative:page;" fillcolor="#FFFFFF" filled="t" stroked="f" coordsize="21600,21600" o:gfxdata="UEsDBAoAAAAAAIdO4kAAAAAAAAAAAAAAAAAEAAAAZHJzL1BLAwQUAAAACACHTuJAIZBMjNcAAAAL&#10;AQAADwAAAGRycy9kb3ducmV2LnhtbE2PwU7DMBBE70j8g7VI3KjdxoQS4vSA1BNwoEXiuo3dJCJe&#10;h9hpw9+zPcFtRzOafVNuZt+LkxtjF8jAcqFAOKqD7agx8LHf3q1BxIRksQ/kDPy4CJvq+qrEwoYz&#10;vbvTLjWCSygWaKBNaSikjHXrPMZFGByxdwyjx8RybKQd8czlvpcrpXLpsSP+0OLgnltXf+0mbwBz&#10;bb/fjtnr/mXK8bGZ1fb+Uxlze7NUTyCSm9NfGC74jA4VMx3CRDaKnvXDitETHzrTIDiR6XUG4nCx&#10;cg2yKuX/DdUvUEsDBBQAAAAIAIdO4kAfxMXLxAEAAFYDAAAOAAAAZHJzL2Uyb0RvYy54bWytU81u&#10;1DAQviPxDpbvbH7YoDZabw9UywVBpdIH8Dp2Ysl/GrubXV4GiRsPweMgXoOxG0ppb1VzcGbimW/m&#10;+2ayuThaQw4SovaO0WZVUyKd8IN2I6M3X3ZvziiJibuBG+8koycZ6cX29avNHHrZ+smbQQJBEBf7&#10;OTA6pRT6qopikpbHlQ/S4aXyYHlCF8ZqAD4jujVVW9fvqtnDEMALGSN+vby7pNuCr5QU6bNSUSZi&#10;GMXeUjmhnPt8VtsN70fgYdJiaYM/owvLtcOi91CXPHFyC/oJlNUCfPQqrYS3lVdKC1k4IJumfsTm&#10;euJBFi4oTgz3MsWXgxWfDldA9ICzW1PiuMUZ/f7249fP76TL4swh9hhzHa5g8SKamelRgc1v5ECO&#10;jLbtum7PUOJTttumfbuIK4+JCAxomma9bjtKRI6oz7uuBFT/kALE9EF6S7LBKODwiqb88DEmrI6h&#10;f0Ny4eiNHnbamOLAuH9vgBw4DnpXntw+pvwXZhyZGT3vsI+c5XzOxzjeW51kpogZxuUPsmzPUjnL&#10;cEc8W3s/nFA1XHtsc/LwlRLuBBqMJkpuA+hxwpumdJATcHgFeVm0vB0PfbQf/g7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GQTIzXAAAACwEAAA8AAAAAAAAAAQAgAAAAIgAAAGRycy9kb3ducmV2&#10;LnhtbFBLAQIUABQAAAAIAIdO4kAfxMXLxAEAAFYDAAAOAAAAAAAAAAEAIAAAACYBAABkcnMvZTJv&#10;RG9jLnhtbFBLBQYAAAAABgAGAFkBAABcBQ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4526280</wp:posOffset>
                </wp:positionH>
                <wp:positionV relativeFrom="paragraph">
                  <wp:posOffset>605790</wp:posOffset>
                </wp:positionV>
                <wp:extent cx="419100" cy="200025"/>
                <wp:effectExtent l="0" t="0" r="0" b="9525"/>
                <wp:wrapNone/>
                <wp:docPr id="13" name="矩形 4"/>
                <wp:cNvGraphicFramePr/>
                <a:graphic xmlns:a="http://schemas.openxmlformats.org/drawingml/2006/main">
                  <a:graphicData uri="http://schemas.microsoft.com/office/word/2010/wordprocessingShape">
                    <wps:wsp>
                      <wps:cNvSpPr/>
                      <wps:spPr>
                        <a:xfrm>
                          <a:off x="5669280" y="1916430"/>
                          <a:ext cx="419100" cy="200025"/>
                        </a:xfrm>
                        <a:prstGeom prst="rect">
                          <a:avLst/>
                        </a:prstGeom>
                        <a:solidFill>
                          <a:srgbClr val="FFFFFF"/>
                        </a:solidFill>
                        <a:ln w="9525">
                          <a:noFill/>
                          <a:miter/>
                        </a:ln>
                        <a:effectLst/>
                      </wps:spPr>
                      <wps:bodyPr vert="horz" anchor="t" upright="1"/>
                    </wps:wsp>
                  </a:graphicData>
                </a:graphic>
              </wp:anchor>
            </w:drawing>
          </mc:Choice>
          <mc:Fallback>
            <w:pict>
              <v:rect id="矩形 4" o:spid="_x0000_s1026" o:spt="1" style="position:absolute;left:0pt;margin-left:356.4pt;margin-top:47.7pt;height:15.75pt;width:33pt;z-index:251662336;mso-width-relative:page;mso-height-relative:page;" fillcolor="#FFFFFF" filled="t" stroked="f" coordsize="21600,21600" o:gfxdata="UEsDBAoAAAAAAIdO4kAAAAAAAAAAAAAAAAAEAAAAZHJzL1BLAwQUAAAACACHTuJAWIyszdgAAAAK&#10;AQAADwAAAGRycy9kb3ducmV2LnhtbE2PwU7DMAyG70i8Q2Qkbixp2dq1NN0BaSfgwIbE1Wu8tqJJ&#10;SpNu4+0xJ3a0/en391ebix3EiabQe6chWSgQ5Bpvetdq+NhvH9YgQkRncPCONPxQgE19e1NhafzZ&#10;vdNpF1vBIS6UqKGLcSylDE1HFsPCj+T4dvSTxcjj1Eoz4ZnD7SBTpTJpsXf8ocORnjtqvnaz1YDZ&#10;0ny/HR9f9y9zhkV7UdvVp9L6/i5RTyAiXeI/DH/6rA41Ox387EwQg4Y8SVk9aihWSxAM5PmaFwcm&#10;06wAWVfyukL9C1BLAwQUAAAACACHTuJAMYn6zsIBAABVAwAADgAAAGRycy9lMm9Eb2MueG1srVPB&#10;jhMxDL0j8Q9R7nSm3bbajjrdA6tyQbDSsh+QZpKZSEkcOdlOy88gceMj+BzEb+Ckw7LADdFDasfO&#10;s9+zZ3tzcpYdFUYDvuXzWc2Z8hI64/uWP3zYv7rmLCbhO2HBq5afVeQ3u5cvtmNo1AIGsJ1CRiA+&#10;NmNo+ZBSaKoqykE5EWcQlKegBnQikYt91aEYCd3ZalHX62oE7AKCVDHS7e0lyHcFX2sl03uto0rM&#10;tpx6S+XEch7yWe22oulRhMHIqQ3xD104YTwVfYK6FUmwRzR/QTkjESLoNJPgKtDaSFU4EJt5/Qeb&#10;+0EEVbiQODE8yRT/H6x8d7xDZjqa3RVnXjia0fdPX759/cyWWZwxxIZy7sMdTl4kMzM9aXT5nziw&#10;U8tX6/VmcU0SnwlqM18vryZx1SkxSQlLuq0pLimBJlcvVhm/+gUUMKY3ChzLRsuRZlckFce3MV1S&#10;f6bkuhGs6fbG2uJgf3htkR0FzXlffhP6b2nWs7HlmxXVzq885PcELRpnksoMqR/r84UqyzNVzipc&#10;eGfrAN2ZRKOtpzYHwI+cCS/JaHni7DGg6QeKzEsH+QHNriBPe5aX47lP9vOvYfc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IyszdgAAAAKAQAADwAAAAAAAAABACAAAAAiAAAAZHJzL2Rvd25yZXYu&#10;eG1sUEsBAhQAFAAAAAgAh07iQDGJ+s7CAQAAVQMAAA4AAAAAAAAAAQAgAAAAJwEAAGRycy9lMm9E&#10;b2MueG1sUEsFBgAAAAAGAAYAWQEAAFsFA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716280</wp:posOffset>
                </wp:positionH>
                <wp:positionV relativeFrom="paragraph">
                  <wp:posOffset>672465</wp:posOffset>
                </wp:positionV>
                <wp:extent cx="657225" cy="161925"/>
                <wp:effectExtent l="0" t="0" r="9525" b="9525"/>
                <wp:wrapNone/>
                <wp:docPr id="12" name="矩形 3"/>
                <wp:cNvGraphicFramePr/>
                <a:graphic xmlns:a="http://schemas.openxmlformats.org/drawingml/2006/main">
                  <a:graphicData uri="http://schemas.microsoft.com/office/word/2010/wordprocessingShape">
                    <wps:wsp>
                      <wps:cNvSpPr/>
                      <wps:spPr>
                        <a:xfrm>
                          <a:off x="1859280" y="1983105"/>
                          <a:ext cx="657225" cy="161925"/>
                        </a:xfrm>
                        <a:prstGeom prst="rect">
                          <a:avLst/>
                        </a:prstGeom>
                        <a:solidFill>
                          <a:srgbClr val="FFFFFF"/>
                        </a:solidFill>
                        <a:ln w="9525">
                          <a:noFill/>
                          <a:miter/>
                        </a:ln>
                        <a:effectLst/>
                      </wps:spPr>
                      <wps:bodyPr vert="horz" anchor="t" upright="1"/>
                    </wps:wsp>
                  </a:graphicData>
                </a:graphic>
              </wp:anchor>
            </w:drawing>
          </mc:Choice>
          <mc:Fallback>
            <w:pict>
              <v:rect id="矩形 3" o:spid="_x0000_s1026" o:spt="1" style="position:absolute;left:0pt;margin-left:56.4pt;margin-top:52.95pt;height:12.75pt;width:51.75pt;z-index:251661312;mso-width-relative:page;mso-height-relative:page;" fillcolor="#FFFFFF" filled="t" stroked="f" coordsize="21600,21600" o:gfxdata="UEsDBAoAAAAAAIdO4kAAAAAAAAAAAAAAAAAEAAAAZHJzL1BLAwQUAAAACACHTuJA9g5sRtgAAAAL&#10;AQAADwAAAGRycy9kb3ducmV2LnhtbE2PMU/DMBCFdyT+g3VIbNRO0kY0jdMBqRMw0FZivcZuEjU+&#10;h9hpw7/nmGC7d/f07nvldna9uNoxdJ40JAsFwlLtTUeNhuNh9/QMIkQkg70nq+HbBthW93clFsbf&#10;6MNe97ERHEKhQA1tjEMhZahb6zAs/GCJb2c/Oowsx0aaEW8c7nqZKpVLhx3xhxYH+9La+rKfnAbM&#10;l+br/Zy9HV6nHNfNrHarT6X140OiNiCineOfGX7xGR0qZjr5iUwQPeskZfTIg1qtQbAjTfIMxIk3&#10;WbIEWZXyf4fqB1BLAwQUAAAACACHTuJAXbmRfMMBAABVAwAADgAAAGRycy9lMm9Eb2MueG1srVNL&#10;btswEN0X6B0I7mt9Arm2YDmLBM4maAOkPQBNkRIB/jBkLLuXKdBdD9HjFL1Gh7Saps0uiBbUjDjz&#10;Zt6b0ebyaDQ5CAjK2Y5Wi5ISYbnrlR06+vnT7t2KkhCZ7Zl2VnT0JAK93L59s5l8K2o3Ot0LIAhi&#10;Qzv5jo4x+rYoAh+FYWHhvLB4KR0YFtGFoeiBTYhudFGX5bKYHPQeHBch4Nfr8yXdZnwpBY8fpQwi&#10;Et1R7C3mE/K5T2ex3bB2AOZHxec22Au6MExZLPoIdc0iIw+gnkEZxcEFJ+OCO1M4KRUXmQOyqcr/&#10;2NyPzIvMBcUJ/lGm8Hqw/MPhDojqcXY1JZYZnNGvr99//vhGLpI4kw8txtz7O5i9gGZiepRg0hs5&#10;kCOmr5p1vUKJT2ivVxdV2ZzFFcdIOAYsm/d13VDCU8CyWqONiMVfIA8h3ghnSDI6Cji7LCk73IZ4&#10;Dv0TkuoGp1W/U1pnB4b9lQZyYDjnXX5m9H/CtCVTR9cN1k5Z1qV8hGatUVEkhtiPtumDyMszV04q&#10;nHkna+/6E4qGW49tjg6+UMIsR6OjkZIHD2oY8abKHaQEnF1GnvcsLcdTH+2nf8P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YObEbYAAAACwEAAA8AAAAAAAAAAQAgAAAAIgAAAGRycy9kb3ducmV2&#10;LnhtbFBLAQIUABQAAAAIAIdO4kBduZF8wwEAAFUDAAAOAAAAAAAAAAEAIAAAACcBAABkcnMvZTJv&#10;RG9jLnhtbFBLBQYAAAAABgAGAFkBAABcBQAAAAA=&#10;">
                <v:fill on="t" focussize="0,0"/>
                <v:stroke on="f" joinstyle="miter"/>
                <v:imagedata o:title=""/>
                <o:lock v:ext="edit" aspectratio="f"/>
              </v:rect>
            </w:pict>
          </mc:Fallback>
        </mc:AlternateContent>
      </w:r>
    </w:p>
    <w:p>
      <w:pPr>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drawing>
          <wp:inline distT="0" distB="0" distL="0" distR="0">
            <wp:extent cx="5533390" cy="7755255"/>
            <wp:effectExtent l="0" t="0" r="10160" b="17145"/>
            <wp:docPr id="3" name="图片 20" descr="166443256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1664432561285"/>
                    <pic:cNvPicPr>
                      <a:picLocks noChangeAspect="1" noChangeArrowheads="1"/>
                    </pic:cNvPicPr>
                  </pic:nvPicPr>
                  <pic:blipFill>
                    <a:blip r:embed="rId10"/>
                    <a:srcRect/>
                    <a:stretch>
                      <a:fillRect/>
                    </a:stretch>
                  </pic:blipFill>
                  <pic:spPr>
                    <a:xfrm>
                      <a:off x="0" y="0"/>
                      <a:ext cx="5533390" cy="7755255"/>
                    </a:xfrm>
                    <a:prstGeom prst="rect">
                      <a:avLst/>
                    </a:prstGeom>
                    <a:noFill/>
                    <a:ln w="9525">
                      <a:noFill/>
                      <a:miter lim="800000"/>
                      <a:headEnd/>
                      <a:tailEnd/>
                    </a:ln>
                  </pic:spPr>
                </pic:pic>
              </a:graphicData>
            </a:graphic>
          </wp:inline>
        </w:drawing>
      </w:r>
      <w:r>
        <w:rPr>
          <w:rFonts w:hint="eastAsia" w:ascii="仿宋" w:hAnsi="仿宋" w:eastAsia="仿宋" w:cs="仿宋"/>
          <w:color w:val="auto"/>
          <w:sz w:val="32"/>
          <w:szCs w:val="32"/>
          <w:highlight w:val="none"/>
        </w:rPr>
        <w:br w:type="page"/>
      </w:r>
    </w:p>
    <w:p>
      <w:pPr>
        <w:keepNext w:val="0"/>
        <w:keepLines w:val="0"/>
        <w:pageBreakBefore w:val="0"/>
        <w:kinsoku/>
        <w:overflowPunct/>
        <w:topLinePunct w:val="0"/>
        <w:autoSpaceDE/>
        <w:autoSpaceDN/>
        <w:bidi w:val="0"/>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附表5</w:t>
      </w: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drawing>
          <wp:anchor distT="0" distB="0" distL="0" distR="0" simplePos="0" relativeHeight="251673600" behindDoc="0" locked="0" layoutInCell="1" allowOverlap="1">
            <wp:simplePos x="0" y="0"/>
            <wp:positionH relativeFrom="column">
              <wp:posOffset>0</wp:posOffset>
            </wp:positionH>
            <wp:positionV relativeFrom="paragraph">
              <wp:posOffset>-6591300</wp:posOffset>
            </wp:positionV>
            <wp:extent cx="4805045" cy="7317105"/>
            <wp:effectExtent l="0" t="0" r="14605" b="17145"/>
            <wp:wrapSquare wrapText="bothSides"/>
            <wp:docPr id="5" name="图片 15" descr="166442064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1664420646666"/>
                    <pic:cNvPicPr>
                      <a:picLocks noChangeAspect="1" noChangeArrowheads="1"/>
                    </pic:cNvPicPr>
                  </pic:nvPicPr>
                  <pic:blipFill>
                    <a:blip r:embed="rId11"/>
                    <a:srcRect/>
                    <a:stretch>
                      <a:fillRect/>
                    </a:stretch>
                  </pic:blipFill>
                  <pic:spPr>
                    <a:xfrm>
                      <a:off x="0" y="0"/>
                      <a:ext cx="4805045" cy="7317105"/>
                    </a:xfrm>
                    <a:prstGeom prst="rect">
                      <a:avLst/>
                    </a:prstGeom>
                    <a:noFill/>
                    <a:ln w="9525">
                      <a:noFill/>
                      <a:miter lim="800000"/>
                      <a:headEnd/>
                      <a:tailEnd/>
                    </a:ln>
                  </pic:spPr>
                </pic:pic>
              </a:graphicData>
            </a:graphic>
          </wp:anchor>
        </w:drawing>
      </w: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val="0"/>
        <w:keepLines w:val="0"/>
        <w:pageBreakBefore w:val="0"/>
        <w:kinsoku/>
        <w:overflowPunct/>
        <w:topLinePunct w:val="0"/>
        <w:autoSpaceDE/>
        <w:autoSpaceDN/>
        <w:bidi w:val="0"/>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附表6</w:t>
      </w: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drawing>
          <wp:anchor distT="0" distB="0" distL="0" distR="0" simplePos="0" relativeHeight="251674624" behindDoc="0" locked="0" layoutInCell="1" allowOverlap="1">
            <wp:simplePos x="0" y="0"/>
            <wp:positionH relativeFrom="column">
              <wp:posOffset>0</wp:posOffset>
            </wp:positionH>
            <wp:positionV relativeFrom="paragraph">
              <wp:posOffset>327025</wp:posOffset>
            </wp:positionV>
            <wp:extent cx="5681345" cy="6180455"/>
            <wp:effectExtent l="0" t="0" r="14605" b="10795"/>
            <wp:wrapSquare wrapText="bothSides"/>
            <wp:docPr id="6" name="图片 16" descr="166442090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1664420907133"/>
                    <pic:cNvPicPr>
                      <a:picLocks noChangeAspect="1" noChangeArrowheads="1"/>
                    </pic:cNvPicPr>
                  </pic:nvPicPr>
                  <pic:blipFill>
                    <a:blip r:embed="rId12"/>
                    <a:srcRect/>
                    <a:stretch>
                      <a:fillRect/>
                    </a:stretch>
                  </pic:blipFill>
                  <pic:spPr>
                    <a:xfrm>
                      <a:off x="0" y="0"/>
                      <a:ext cx="5681345" cy="6180455"/>
                    </a:xfrm>
                    <a:prstGeom prst="rect">
                      <a:avLst/>
                    </a:prstGeom>
                    <a:noFill/>
                    <a:ln w="9525">
                      <a:noFill/>
                      <a:miter lim="800000"/>
                      <a:headEnd/>
                      <a:tailEnd/>
                    </a:ln>
                  </pic:spPr>
                </pic:pic>
              </a:graphicData>
            </a:graphic>
          </wp:anchor>
        </w:drawing>
      </w:r>
    </w:p>
    <w:p>
      <w:pPr>
        <w:keepNext w:val="0"/>
        <w:keepLines w:val="0"/>
        <w:pageBreakBefore w:val="0"/>
        <w:kinsoku/>
        <w:overflowPunct/>
        <w:topLinePunct w:val="0"/>
        <w:autoSpaceDE/>
        <w:autoSpaceDN/>
        <w:bidi w:val="0"/>
        <w:spacing w:line="6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（注：需学员签名）</w:t>
      </w:r>
    </w:p>
    <w:p>
      <w:pPr>
        <w:keepNext w:val="0"/>
        <w:keepLines w:val="0"/>
        <w:pageBreakBefore w:val="0"/>
        <w:kinsoku/>
        <w:overflowPunct/>
        <w:topLinePunct w:val="0"/>
        <w:autoSpaceDE/>
        <w:autoSpaceDN/>
        <w:bidi w:val="0"/>
        <w:spacing w:line="600" w:lineRule="exact"/>
        <w:jc w:val="left"/>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val="0"/>
        <w:keepLines w:val="0"/>
        <w:pageBreakBefore w:val="0"/>
        <w:kinsoku/>
        <w:overflowPunct/>
        <w:topLinePunct w:val="0"/>
        <w:autoSpaceDE/>
        <w:autoSpaceDN/>
        <w:bidi w:val="0"/>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附表7</w:t>
      </w: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drawing>
          <wp:anchor distT="0" distB="0" distL="0" distR="0" simplePos="0" relativeHeight="251675648" behindDoc="0" locked="0" layoutInCell="1" allowOverlap="1">
            <wp:simplePos x="0" y="0"/>
            <wp:positionH relativeFrom="column">
              <wp:posOffset>0</wp:posOffset>
            </wp:positionH>
            <wp:positionV relativeFrom="paragraph">
              <wp:posOffset>-6534150</wp:posOffset>
            </wp:positionV>
            <wp:extent cx="5403215" cy="6166485"/>
            <wp:effectExtent l="0" t="0" r="6985" b="5715"/>
            <wp:wrapSquare wrapText="bothSides"/>
            <wp:docPr id="7" name="图片 18" descr="166443203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1664432037172"/>
                    <pic:cNvPicPr>
                      <a:picLocks noChangeAspect="1" noChangeArrowheads="1"/>
                    </pic:cNvPicPr>
                  </pic:nvPicPr>
                  <pic:blipFill>
                    <a:blip r:embed="rId13"/>
                    <a:srcRect/>
                    <a:stretch>
                      <a:fillRect/>
                    </a:stretch>
                  </pic:blipFill>
                  <pic:spPr>
                    <a:xfrm>
                      <a:off x="0" y="0"/>
                      <a:ext cx="5403215" cy="6166485"/>
                    </a:xfrm>
                    <a:prstGeom prst="rect">
                      <a:avLst/>
                    </a:prstGeom>
                    <a:noFill/>
                    <a:ln w="9525">
                      <a:noFill/>
                      <a:miter lim="800000"/>
                      <a:headEnd/>
                      <a:tailEnd/>
                    </a:ln>
                  </pic:spPr>
                </pic:pic>
              </a:graphicData>
            </a:graphic>
          </wp:anchor>
        </w:drawing>
      </w: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附表8</w:t>
      </w: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drawing>
          <wp:anchor distT="0" distB="0" distL="0" distR="0" simplePos="0" relativeHeight="251676672" behindDoc="0" locked="0" layoutInCell="1" allowOverlap="1">
            <wp:simplePos x="0" y="0"/>
            <wp:positionH relativeFrom="column">
              <wp:posOffset>0</wp:posOffset>
            </wp:positionH>
            <wp:positionV relativeFrom="paragraph">
              <wp:posOffset>-6934200</wp:posOffset>
            </wp:positionV>
            <wp:extent cx="4962525" cy="6807835"/>
            <wp:effectExtent l="0" t="0" r="9525" b="12065"/>
            <wp:wrapSquare wrapText="bothSides"/>
            <wp:docPr id="8" name="图片 19" descr="166443319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1664433196586"/>
                    <pic:cNvPicPr>
                      <a:picLocks noChangeAspect="1" noChangeArrowheads="1"/>
                    </pic:cNvPicPr>
                  </pic:nvPicPr>
                  <pic:blipFill>
                    <a:blip r:embed="rId14"/>
                    <a:srcRect/>
                    <a:stretch>
                      <a:fillRect/>
                    </a:stretch>
                  </pic:blipFill>
                  <pic:spPr>
                    <a:xfrm>
                      <a:off x="0" y="0"/>
                      <a:ext cx="4962525" cy="6807835"/>
                    </a:xfrm>
                    <a:prstGeom prst="rect">
                      <a:avLst/>
                    </a:prstGeom>
                    <a:noFill/>
                    <a:ln w="9525">
                      <a:noFill/>
                      <a:miter lim="800000"/>
                      <a:headEnd/>
                      <a:tailEnd/>
                    </a:ln>
                  </pic:spPr>
                </pic:pic>
              </a:graphicData>
            </a:graphic>
          </wp:anchor>
        </w:drawing>
      </w:r>
      <w:r>
        <w:rPr>
          <w:rFonts w:hint="eastAsia" w:ascii="仿宋" w:hAnsi="仿宋" w:eastAsia="仿宋" w:cs="仿宋"/>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660400</wp:posOffset>
                </wp:positionV>
                <wp:extent cx="666750" cy="190500"/>
                <wp:effectExtent l="0" t="0" r="0" b="0"/>
                <wp:wrapNone/>
                <wp:docPr id="11" name="矩形 2"/>
                <wp:cNvGraphicFramePr/>
                <a:graphic xmlns:a="http://schemas.openxmlformats.org/drawingml/2006/main">
                  <a:graphicData uri="http://schemas.microsoft.com/office/word/2010/wordprocessingShape">
                    <wps:wsp>
                      <wps:cNvSpPr/>
                      <wps:spPr>
                        <a:xfrm>
                          <a:off x="1844040" y="1971040"/>
                          <a:ext cx="666750" cy="190500"/>
                        </a:xfrm>
                        <a:prstGeom prst="rect">
                          <a:avLst/>
                        </a:prstGeom>
                        <a:solidFill>
                          <a:srgbClr val="FFFFFF"/>
                        </a:solidFill>
                        <a:ln w="9525">
                          <a:noFill/>
                          <a:miter/>
                        </a:ln>
                        <a:effectLst/>
                      </wps:spPr>
                      <wps:bodyPr vert="horz" anchor="t" upright="1"/>
                    </wps:wsp>
                  </a:graphicData>
                </a:graphic>
              </wp:anchor>
            </w:drawing>
          </mc:Choice>
          <mc:Fallback>
            <w:pict>
              <v:rect id="矩形 2" o:spid="_x0000_s1026" o:spt="1" style="position:absolute;left:0pt;margin-left:55.2pt;margin-top:52pt;height:15pt;width:52.5pt;z-index:251660288;mso-width-relative:page;mso-height-relative:page;" fillcolor="#FFFFFF" filled="t" stroked="f" coordsize="21600,21600" o:gfxdata="UEsDBAoAAAAAAIdO4kAAAAAAAAAAAAAAAAAEAAAAZHJzL1BLAwQUAAAACACHTuJAaqJaStQAAAAL&#10;AQAADwAAAGRycy9kb3ducmV2LnhtbE1PPU/DMBDdkfgP1iGxUTttGkGI0wGpEzDQIrFe42sSEZ9D&#10;7LTl33NMsN370Lv3qs3FD+pEU+wDW8gWBhRxE1zPrYX3/fbuHlRMyA6HwGThmyJs6uurCksXzvxG&#10;p11qlYRwLNFCl9JYah2bjjzGRRiJRTuGyWMSOLXaTXiWcD/opTGF9tizfOhwpKeOms/d7C1gkbuv&#10;1+PqZf88F/jQXsx2/WGsvb3JzCOoRJf0Z4bf+lIdaul0CDO7qAbBmcnFKofJZZQ4ltlamIMwK2F0&#10;Xen/G+ofUEsDBBQAAAAIAIdO4kCK7G0+wgEAAFUDAAAOAAAAZHJzL2Uyb0RvYy54bWytU8Fu2zAM&#10;vQ/YPwi6L7aDJG2NOD2syC7DVqDrByiyZAuQRIFS42Q/M6C3fcQ+Z+hvlFKzrt1uw3yQKZN85Huk&#10;15cHZ9leYTTgO97Mas6Ul9AbP3T89sv23TlnMQnfCwtedfyoIr/cvH2znkKr5jCC7RUyAvGxnULH&#10;x5RCW1VRjsqJOIOgPDk1oBOJrjhUPYqJ0J2t5nW9qibAPiBIFSN9vXpy8k3B11rJ9FnrqBKzHafe&#10;UjmxnLt8Vpu1aAcUYTTy1Ib4hy6cMJ6KPkNdiSTYHZq/oJyRCBF0mklwFWhtpCociE1T/8HmZhRB&#10;FS4kTgzPMsX/Bys/7a+RmZ5m13DmhaMZPXz7/vPHPZtncaYQW4q5Cdd4ukUyM9ODRpffxIEdKP18&#10;sagXJPGR7IuzJttFXHVITFLAarU6W5JfloB6WRd/9RsoYEwfFDiWjY4jza5IKvYfYyIoCv0VkutG&#10;sKbfGmvLBYfde4tsL2jO2/Lk6pTyKsx6NnX8YjlfFmQPOb906UxSmSFlWJ8RVVmeU+WswhPvbO2g&#10;P5JotPXU5gj4lTPhJRkdT5zdBTTDSJ6mdJATaHYF+bRneTle3sl++Tds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olpK1AAAAAsBAAAPAAAAAAAAAAEAIAAAACIAAABkcnMvZG93bnJldi54bWxQ&#10;SwECFAAUAAAACACHTuJAiuxtPsIBAABVAwAADgAAAAAAAAABACAAAAAjAQAAZHJzL2Uyb0RvYy54&#10;bWxQSwUGAAAAAAYABgBZAQAAVwUAAAAA&#10;">
                <v:fill on="t" focussize="0,0"/>
                <v:stroke on="f" joinstyle="miter"/>
                <v:imagedata o:title=""/>
                <o:lock v:ext="edit" aspectratio="f"/>
              </v:rect>
            </w:pict>
          </mc:Fallback>
        </mc:AlternateContent>
      </w:r>
      <w:r>
        <w:rPr>
          <w:rFonts w:hint="eastAsia" w:ascii="仿宋" w:hAnsi="仿宋" w:eastAsia="仿宋" w:cs="仿宋"/>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4539615</wp:posOffset>
                </wp:positionH>
                <wp:positionV relativeFrom="paragraph">
                  <wp:posOffset>607060</wp:posOffset>
                </wp:positionV>
                <wp:extent cx="409575" cy="200025"/>
                <wp:effectExtent l="0" t="0" r="9525" b="9525"/>
                <wp:wrapNone/>
                <wp:docPr id="4" name="矩形 1"/>
                <wp:cNvGraphicFramePr/>
                <a:graphic xmlns:a="http://schemas.openxmlformats.org/drawingml/2006/main">
                  <a:graphicData uri="http://schemas.microsoft.com/office/word/2010/wordprocessingShape">
                    <wps:wsp>
                      <wps:cNvSpPr/>
                      <wps:spPr>
                        <a:xfrm>
                          <a:off x="5682615" y="1917700"/>
                          <a:ext cx="409575" cy="200025"/>
                        </a:xfrm>
                        <a:prstGeom prst="rect">
                          <a:avLst/>
                        </a:prstGeom>
                        <a:solidFill>
                          <a:srgbClr val="FFFFFF"/>
                        </a:solidFill>
                        <a:ln w="9525">
                          <a:noFill/>
                          <a:miter/>
                        </a:ln>
                        <a:effectLst/>
                      </wps:spPr>
                      <wps:bodyPr vert="horz" anchor="t" upright="1"/>
                    </wps:wsp>
                  </a:graphicData>
                </a:graphic>
              </wp:anchor>
            </w:drawing>
          </mc:Choice>
          <mc:Fallback>
            <w:pict>
              <v:rect id="矩形 1" o:spid="_x0000_s1026" o:spt="1" style="position:absolute;left:0pt;margin-left:357.45pt;margin-top:47.8pt;height:15.75pt;width:32.25pt;z-index:251659264;mso-width-relative:page;mso-height-relative:page;" fillcolor="#FFFFFF" filled="t" stroked="f" coordsize="21600,21600" o:gfxdata="UEsDBAoAAAAAAIdO4kAAAAAAAAAAAAAAAAAEAAAAZHJzL1BLAwQUAAAACACHTuJAOzDWa9gAAAAK&#10;AQAADwAAAGRycy9kb3ducmV2LnhtbE2PMU/DMBCFdyT+g3VIbNROSRMS4nRA6gQMtEis19hNIuJz&#10;iJ02/HuOCcbT+/Ted9V2cYM42yn0njQkKwXCUuNNT62G98Pu7gFEiEgGB09Ww7cNsK2vryosjb/Q&#10;mz3vYyu4hEKJGroYx1LK0HTWYVj50RJnJz85jHxOrTQTXrjcDXKtVCYd9sQLHY72qbPN5352GjBL&#10;zdfr6f7l8DxnWLSL2m0+lNa3N4l6BBHtEv9g+NVndajZ6ehnMkEMGvIkLRjVUGwyEAzkeZGCODK5&#10;zhOQdSX/v1D/AFBLAwQUAAAACACHTuJAJPiHE8MBAABUAwAADgAAAGRycy9lMm9Eb2MueG1srVPN&#10;jtMwEL4j8Q6W7zRJtWm3Ud09sCoXBCst+wCuYyeW/Kext2l5GSRuPASPg3gNxm5YFrghcnBmMuNv&#10;5vtmsr05WUOOEqL2jtFmUVMinfC9dgOjDx/2r64piYm7nhvvJKNnGenN7uWL7RQ6ufSjN70EgiAu&#10;dlNgdEwpdFUVxSgtjwsfpMOg8mB5QheGqgc+Ibo11bKuV9XkoQ/ghYwRv95egnRX8JWSIr1XKspE&#10;DKPYWyonlPOQz2q35d0APIxazG3wf+jCcu2w6BPULU+cPIL+C8pqAT56lRbC28orpYUsHJBNU//B&#10;5n7kQRYuKE4MTzLF/wcr3h3vgOie0StKHLc4ou+fvnz7+pk0WZspxA5T7sMdzF5EMxM9KbD5jRTI&#10;idF2db1cNS0lZ9yCTbNe17O28pSIwISretOuMS4wAQdXL9uMX/0CChDTG+ktyQajgKMrivLj25gu&#10;qT9Tct3oje732pjiwHB4bYAcOY55X54Z/bc048jE6KbF2vmW8/k+QvPO6iQzQ+zHuPxBlt2ZK2cV&#10;LryzdfD9GTXDpcc2Rw8fKeFOoMFoouQxgB5GjBT9qnwBR1eQ5zXLu/HcR/v5z7D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sw1mvYAAAACgEAAA8AAAAAAAAAAQAgAAAAIgAAAGRycy9kb3ducmV2&#10;LnhtbFBLAQIUABQAAAAIAIdO4kAk+IcTwwEAAFQDAAAOAAAAAAAAAAEAIAAAACcBAABkcnMvZTJv&#10;RG9jLnhtbFBLBQYAAAAABgAGAFkBAABcBQAAAAA=&#10;">
                <v:fill on="t" focussize="0,0"/>
                <v:stroke on="f" joinstyle="miter"/>
                <v:imagedata o:title=""/>
                <o:lock v:ext="edit" aspectratio="f"/>
              </v:rect>
            </w:pict>
          </mc:Fallback>
        </mc:AlternateContent>
      </w: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pPr>
    </w:p>
    <w:p>
      <w:pPr>
        <w:keepNext w:val="0"/>
        <w:keepLines w:val="0"/>
        <w:pageBreakBefore w:val="0"/>
        <w:kinsoku/>
        <w:overflowPunct/>
        <w:topLinePunct w:val="0"/>
        <w:autoSpaceDE/>
        <w:autoSpaceDN/>
        <w:bidi w:val="0"/>
        <w:spacing w:line="600" w:lineRule="exact"/>
        <w:jc w:val="left"/>
        <w:rPr>
          <w:rFonts w:hint="eastAsia" w:ascii="仿宋" w:hAnsi="仿宋" w:eastAsia="仿宋" w:cs="仿宋"/>
          <w:color w:val="auto"/>
          <w:sz w:val="32"/>
          <w:szCs w:val="32"/>
          <w:highlight w:val="none"/>
        </w:rPr>
        <w:sectPr>
          <w:pgSz w:w="11906" w:h="16838"/>
          <w:pgMar w:top="1588" w:right="1474" w:bottom="1588" w:left="1531" w:header="851" w:footer="992" w:gutter="0"/>
          <w:cols w:space="720" w:num="1"/>
          <w:docGrid w:type="lines" w:linePitch="312" w:charSpace="0"/>
        </w:sectPr>
      </w:pPr>
    </w:p>
    <w:p>
      <w:pPr>
        <w:keepNext w:val="0"/>
        <w:keepLines w:val="0"/>
        <w:pageBreakBefore w:val="0"/>
        <w:kinsoku/>
        <w:overflowPunct/>
        <w:topLinePunct w:val="0"/>
        <w:autoSpaceDE/>
        <w:autoSpaceDN/>
        <w:bidi w:val="0"/>
        <w:spacing w:line="600" w:lineRule="exact"/>
        <w:rPr>
          <w:rFonts w:hint="eastAsia" w:ascii="黑体" w:hAnsi="黑体" w:eastAsia="黑体" w:cs="黑体"/>
          <w:color w:val="auto"/>
          <w:sz w:val="32"/>
          <w:szCs w:val="32"/>
          <w:highlight w:val="none"/>
          <w:lang w:val="en-US"/>
        </w:rPr>
      </w:pPr>
      <w:r>
        <w:rPr>
          <w:rFonts w:hint="eastAsia" w:ascii="黑体" w:hAnsi="黑体" w:eastAsia="黑体" w:cs="黑体"/>
          <w:b w:val="0"/>
          <w:bCs w:val="0"/>
          <w:color w:val="auto"/>
          <w:sz w:val="32"/>
          <w:szCs w:val="32"/>
          <w:highlight w:val="none"/>
          <w:lang w:eastAsia="zh-CN"/>
        </w:rPr>
        <w:t>附</w:t>
      </w:r>
      <w:r>
        <w:rPr>
          <w:rFonts w:hint="eastAsia" w:ascii="黑体" w:hAnsi="黑体" w:eastAsia="黑体" w:cs="黑体"/>
          <w:color w:val="auto"/>
          <w:sz w:val="32"/>
          <w:szCs w:val="32"/>
          <w:highlight w:val="none"/>
        </w:rPr>
        <w:drawing>
          <wp:anchor distT="0" distB="0" distL="0" distR="0" simplePos="0" relativeHeight="251677696" behindDoc="0" locked="0" layoutInCell="1" allowOverlap="1">
            <wp:simplePos x="0" y="0"/>
            <wp:positionH relativeFrom="column">
              <wp:posOffset>0</wp:posOffset>
            </wp:positionH>
            <wp:positionV relativeFrom="paragraph">
              <wp:posOffset>591185</wp:posOffset>
            </wp:positionV>
            <wp:extent cx="5595620" cy="7227570"/>
            <wp:effectExtent l="0" t="0" r="5080" b="11430"/>
            <wp:wrapSquare wrapText="bothSides"/>
            <wp:docPr id="9" name="图片 21" descr="a56a30228dbd1489f06d7d162c08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a56a30228dbd1489f06d7d162c0813e"/>
                    <pic:cNvPicPr>
                      <a:picLocks noChangeAspect="1" noChangeArrowheads="1"/>
                    </pic:cNvPicPr>
                  </pic:nvPicPr>
                  <pic:blipFill>
                    <a:blip r:embed="rId15"/>
                    <a:srcRect l="375" t="5873" r="-375" b="273"/>
                    <a:stretch>
                      <a:fillRect/>
                    </a:stretch>
                  </pic:blipFill>
                  <pic:spPr>
                    <a:xfrm>
                      <a:off x="0" y="0"/>
                      <a:ext cx="5595620" cy="7227570"/>
                    </a:xfrm>
                    <a:prstGeom prst="rect">
                      <a:avLst/>
                    </a:prstGeom>
                    <a:noFill/>
                    <a:ln w="9525">
                      <a:noFill/>
                      <a:miter lim="800000"/>
                      <a:headEnd/>
                      <a:tailEnd/>
                    </a:ln>
                  </pic:spPr>
                </pic:pic>
              </a:graphicData>
            </a:graphic>
          </wp:anchor>
        </w:drawing>
      </w:r>
      <w:r>
        <w:rPr>
          <w:rFonts w:hint="eastAsia" w:ascii="黑体" w:hAnsi="黑体" w:eastAsia="黑体" w:cs="黑体"/>
          <w:b w:val="0"/>
          <w:bCs w:val="0"/>
          <w:color w:val="auto"/>
          <w:sz w:val="32"/>
          <w:szCs w:val="32"/>
          <w:highlight w:val="none"/>
          <w:lang w:eastAsia="zh-CN"/>
        </w:rPr>
        <w:t>表</w:t>
      </w:r>
      <w:r>
        <w:rPr>
          <w:rFonts w:hint="eastAsia" w:ascii="黑体" w:hAnsi="黑体" w:eastAsia="黑体" w:cs="黑体"/>
          <w:b w:val="0"/>
          <w:bCs w:val="0"/>
          <w:color w:val="auto"/>
          <w:sz w:val="32"/>
          <w:szCs w:val="32"/>
          <w:highlight w:val="none"/>
          <w:lang w:val="en-US" w:eastAsia="zh-CN"/>
        </w:rPr>
        <w:t>9</w:t>
      </w:r>
    </w:p>
    <w:sectPr>
      <w:pgSz w:w="11906" w:h="16838"/>
      <w:pgMar w:top="1587" w:right="1474"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ohO68BAABM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Tc0octzij3a/n3e+/uz9P5Dz3pw+xxrTHgIlpuPIDznn0R3Rm2YMCm78o&#10;iGAcO709dlcOiYj8aDadzSoMCYyNF8RnL88DxHQrvSXZaCjg+EpX+eZbTPvUMSVXc/5GG1NGaNwb&#10;B2JmD8vc9xyzlYblcBC09O0W9fQ4+YY6XE1KzJ3DxuYlGQ0YjeVorAPoVVe2KNeL4XKdkEThlivs&#10;YQ+FcWRF3WG98k68vpesl59g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GohO68BAABM&#10;AwAADgAAAAAAAAABACAAAAAeAQAAZHJzL2Uyb0RvYy54bWxQSwUGAAAAAAYABgBZAQAAP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6y9Ym5AQAAVQMAAA4AAABkcnMvZTJvRG9jLnhtbK1TS27bMBDdB+gd&#10;CO5ryU4aGILpoEWQIkCRFkh6AJoiLQL8gUNb8gXaG2SVTfc9l8+RIW05QbMLuqFmOMM3782MFleD&#10;NWQrI2jvGJ1OakqkE77Vbs3oz4ebj3NKIHHXcuOdZHQngV4tP5wt+tDIme+8aWUkCOKg6QOjXUqh&#10;qSoQnbQcJj5Ih0Hlo+UJ3biu2sh7RLemmtX1ZdX72IbohQTA2+tDkC4LvlJSpO9KgUzEMIrcUjlj&#10;OVf5rJYL3qwjD50WRxr8HSws1w6LnqCueeJkE/UbKKtF9OBVmghvK6+UFrJoQDXT+h819x0PsmjB&#10;5kA4tQn+H6y42/6IRLeMzi4ocdzijPaPv/dPf/d/fpHz3J8+QINp9wET0/DFDzjn8R7wMsseVLT5&#10;i4IIxrHTu1N35ZCIyI/ms/m8xpDA2OggfvXyPERIX6W3JBuMRhxf6SrffoN0SB1TcjXnb7QxZYTG&#10;kZ7Ry/NPdXlwiiC4cVgjiziQzVYaVsNR2cq3OxTW4wow6nBHKTG3Djuct2U04misRmMTol53yHFa&#10;6kH4vEnIppDMFQ6wx8I4uyLzuGd5OV77Jevlb1g+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BOsvWJuQEAAFUDAAAOAAAAAAAAAAEAIAAAAB8BAABkcnMvZTJvRG9jLnhtbFBLBQYAAAAABgAG&#10;AFkBAAB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mZwq4AQAAVQMAAA4AAABkcnMvZTJvRG9jLnhtbK1TS27bMBDdB+gd&#10;CO5ryQoaGILpoEWQokDRBkhyAJoiLQL8YUhb8gXaG3TVTfY5l8+RIW05QbsruqFmOMM3782Mltej&#10;NWQnIWrvGJ3PakqkE77TbsPo48Pt+wUlMXHXceOdZHQvI71evbtYDqGVje+96SQQBHGxHQKjfUqh&#10;raooeml5nPkgHQaVB8sTurCpOuADoltTNXV9VQ0eugBeyBjx9uYYpKuCr5QU6btSUSZiGEVuqZxQ&#10;znU+q9WStxvgodfiRIP/AwvLtcOiZ6gbnjjZgv4LymoBPnqVZsLbyiulhSwaUM28/kPNfc+DLFqw&#10;OTGc2xT/H6z4trsDojtGm0tKHLc4o8Ovn4ffz4enH6TJ/RlCbDHtPmBiGj/5Eec83Ue8zLJHBTZ/&#10;URDBOHZ6f+6uHBMR+dGiWSxqDAmMTQ7iV6/PA8T0WXpLssEo4PhKV/nua0zH1CklV3P+VhtTRmgc&#10;GRi9uvxQlwfnCIIbhzWyiCPZbKVxPZ6UrX23R2EDrgCjDneUEvPFYYfztkwGTMZ6MrYB9KZHjvNS&#10;L4aP24RsCslc4Qh7KoyzKzJPe5aX461fsl7/ht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EymZwq4AQAAVQMAAA4AAAAAAAAAAQAgAAAAHwEAAGRycy9lMm9Eb2MueG1sUEsFBgAAAAAGAAYA&#10;WQEAAE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55248"/>
    <w:multiLevelType w:val="singleLevel"/>
    <w:tmpl w:val="9E055248"/>
    <w:lvl w:ilvl="0" w:tentative="0">
      <w:start w:val="3"/>
      <w:numFmt w:val="chineseCounting"/>
      <w:suff w:val="space"/>
      <w:lvlText w:val="第%1章"/>
      <w:lvlJc w:val="left"/>
      <w:rPr>
        <w:rFonts w:hint="eastAsia"/>
      </w:rPr>
    </w:lvl>
  </w:abstractNum>
  <w:abstractNum w:abstractNumId="1">
    <w:nsid w:val="C710505F"/>
    <w:multiLevelType w:val="singleLevel"/>
    <w:tmpl w:val="C710505F"/>
    <w:lvl w:ilvl="0" w:tentative="0">
      <w:start w:val="2"/>
      <w:numFmt w:val="chineseCounting"/>
      <w:suff w:val="nothing"/>
      <w:lvlText w:val="（%1）"/>
      <w:lvlJc w:val="left"/>
      <w:rPr>
        <w:rFonts w:hint="eastAsia"/>
      </w:rPr>
    </w:lvl>
  </w:abstractNum>
  <w:abstractNum w:abstractNumId="2">
    <w:nsid w:val="D38A799C"/>
    <w:multiLevelType w:val="singleLevel"/>
    <w:tmpl w:val="D38A799C"/>
    <w:lvl w:ilvl="0" w:tentative="0">
      <w:start w:val="1"/>
      <w:numFmt w:val="decimal"/>
      <w:suff w:val="nothing"/>
      <w:lvlText w:val="%1、"/>
      <w:lvlJc w:val="left"/>
    </w:lvl>
  </w:abstractNum>
  <w:abstractNum w:abstractNumId="3">
    <w:nsid w:val="205B309B"/>
    <w:multiLevelType w:val="singleLevel"/>
    <w:tmpl w:val="205B309B"/>
    <w:lvl w:ilvl="0" w:tentative="0">
      <w:start w:val="1"/>
      <w:numFmt w:val="decimal"/>
      <w:suff w:val="nothing"/>
      <w:lvlText w:val="%1、"/>
      <w:lvlJc w:val="left"/>
    </w:lvl>
  </w:abstractNum>
  <w:abstractNum w:abstractNumId="4">
    <w:nsid w:val="4AC90A30"/>
    <w:multiLevelType w:val="singleLevel"/>
    <w:tmpl w:val="4AC90A30"/>
    <w:lvl w:ilvl="0" w:tentative="0">
      <w:start w:val="1"/>
      <w:numFmt w:val="chineseCounting"/>
      <w:suff w:val="nothing"/>
      <w:lvlText w:val="%1、"/>
      <w:lvlJc w:val="left"/>
      <w:rPr>
        <w:rFonts w:hint="eastAsia"/>
      </w:rPr>
    </w:lvl>
  </w:abstractNum>
  <w:abstractNum w:abstractNumId="5">
    <w:nsid w:val="6247AAD2"/>
    <w:multiLevelType w:val="singleLevel"/>
    <w:tmpl w:val="6247AAD2"/>
    <w:lvl w:ilvl="0" w:tentative="0">
      <w:start w:val="1"/>
      <w:numFmt w:val="decimal"/>
      <w:suff w:val="nothing"/>
      <w:lvlText w:val="（%1）"/>
      <w:lvlJc w:val="left"/>
    </w:lvl>
  </w:abstractNum>
  <w:abstractNum w:abstractNumId="6">
    <w:nsid w:val="6247AADD"/>
    <w:multiLevelType w:val="singleLevel"/>
    <w:tmpl w:val="6247AADD"/>
    <w:lvl w:ilvl="0" w:tentative="0">
      <w:start w:val="1"/>
      <w:numFmt w:val="decimal"/>
      <w:suff w:val="nothing"/>
      <w:lvlText w:val="%1、"/>
      <w:lvlJc w:val="left"/>
      <w:pPr>
        <w:ind w:left="-30"/>
      </w:pPr>
    </w:lvl>
  </w:abstractNum>
  <w:abstractNum w:abstractNumId="7">
    <w:nsid w:val="6247AAE8"/>
    <w:multiLevelType w:val="multilevel"/>
    <w:tmpl w:val="6247AAE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6247AAF3"/>
    <w:multiLevelType w:val="multilevel"/>
    <w:tmpl w:val="6247AAF3"/>
    <w:lvl w:ilvl="0" w:tentative="0">
      <w:start w:val="1"/>
      <w:numFmt w:val="decimal"/>
      <w:lvlText w:val="%1."/>
      <w:lvlJc w:val="left"/>
      <w:pPr>
        <w:tabs>
          <w:tab w:val="left" w:pos="840"/>
        </w:tabs>
        <w:ind w:left="840" w:hanging="360"/>
      </w:pPr>
      <w:rPr>
        <w:rFonts w:hint="default" w:ascii="宋体" w:hAnsi="宋体" w:eastAsia="宋体" w:cs="宋体"/>
        <w:color w:val="00000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6247AAFE"/>
    <w:multiLevelType w:val="singleLevel"/>
    <w:tmpl w:val="6247AAFE"/>
    <w:lvl w:ilvl="0" w:tentative="0">
      <w:start w:val="1"/>
      <w:numFmt w:val="decimal"/>
      <w:suff w:val="nothing"/>
      <w:lvlText w:val="%1、"/>
      <w:lvlJc w:val="left"/>
    </w:lvl>
  </w:abstractNum>
  <w:abstractNum w:abstractNumId="10">
    <w:nsid w:val="703F900F"/>
    <w:multiLevelType w:val="singleLevel"/>
    <w:tmpl w:val="703F900F"/>
    <w:lvl w:ilvl="0" w:tentative="0">
      <w:start w:val="1"/>
      <w:numFmt w:val="chineseCounting"/>
      <w:suff w:val="nothing"/>
      <w:lvlText w:val="第%1条"/>
      <w:lvlJc w:val="left"/>
      <w:pPr>
        <w:tabs>
          <w:tab w:val="left" w:pos="13897"/>
        </w:tabs>
        <w:ind w:left="450"/>
      </w:pPr>
      <w:rPr>
        <w:rFonts w:hint="eastAsia" w:ascii="宋体" w:hAnsi="宋体" w:eastAsia="宋体" w:cs="宋体"/>
        <w:b/>
        <w:lang w:val="en-US"/>
      </w:rPr>
    </w:lvl>
  </w:abstractNum>
  <w:num w:numId="1">
    <w:abstractNumId w:val="10"/>
  </w:num>
  <w:num w:numId="2">
    <w:abstractNumId w:val="0"/>
  </w:num>
  <w:num w:numId="3">
    <w:abstractNumId w:val="5"/>
    <w:lvlOverride w:ilvl="0">
      <w:startOverride w:val="1"/>
    </w:lvlOverride>
  </w:num>
  <w:num w:numId="4">
    <w:abstractNumId w:val="7"/>
    <w:lvlOverride w:ilvl="0">
      <w:startOverride w:val="1"/>
    </w:lvlOverride>
  </w:num>
  <w:num w:numId="5">
    <w:abstractNumId w:val="8"/>
    <w:lvlOverride w:ilvl="0">
      <w:startOverride w:val="1"/>
    </w:lvlOverride>
  </w:num>
  <w:num w:numId="6">
    <w:abstractNumId w:val="9"/>
    <w:lvlOverride w:ilvl="0">
      <w:startOverride w:val="1"/>
    </w:lvlOverride>
  </w:num>
  <w:num w:numId="7">
    <w:abstractNumId w:val="6"/>
    <w:lvlOverride w:ilvl="0">
      <w:startOverride w:val="1"/>
    </w:lvlOverride>
  </w:num>
  <w:num w:numId="8">
    <w:abstractNumId w:val="3"/>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WYzMmYzNzRmOThlMjRjZjU2MjAwZGRkY2Y3MjQifQ=="/>
    <w:docVar w:name="KSO_WPS_MARK_KEY" w:val="ec0230b2-ad0e-4661-98f4-8295d55945f4"/>
  </w:docVars>
  <w:rsids>
    <w:rsidRoot w:val="00317383"/>
    <w:rsid w:val="00005276"/>
    <w:rsid w:val="000F656A"/>
    <w:rsid w:val="001851AD"/>
    <w:rsid w:val="001E3127"/>
    <w:rsid w:val="0026441E"/>
    <w:rsid w:val="002F0B2E"/>
    <w:rsid w:val="00305AB3"/>
    <w:rsid w:val="00317383"/>
    <w:rsid w:val="0031779F"/>
    <w:rsid w:val="00342BFA"/>
    <w:rsid w:val="004C34AF"/>
    <w:rsid w:val="005A51B9"/>
    <w:rsid w:val="0074534B"/>
    <w:rsid w:val="007C5C77"/>
    <w:rsid w:val="007F7A29"/>
    <w:rsid w:val="00803428"/>
    <w:rsid w:val="0092344C"/>
    <w:rsid w:val="009263D1"/>
    <w:rsid w:val="00956E1B"/>
    <w:rsid w:val="00977D10"/>
    <w:rsid w:val="00A133C7"/>
    <w:rsid w:val="00A22A28"/>
    <w:rsid w:val="00A435E2"/>
    <w:rsid w:val="00A72A37"/>
    <w:rsid w:val="00A878EF"/>
    <w:rsid w:val="00A9189D"/>
    <w:rsid w:val="00B87F8A"/>
    <w:rsid w:val="00DE7191"/>
    <w:rsid w:val="00DF0A0E"/>
    <w:rsid w:val="00EA2BCA"/>
    <w:rsid w:val="00FE2297"/>
    <w:rsid w:val="09E157F7"/>
    <w:rsid w:val="0BCD592A"/>
    <w:rsid w:val="0C877CDB"/>
    <w:rsid w:val="19852173"/>
    <w:rsid w:val="1BA61955"/>
    <w:rsid w:val="1C6C588F"/>
    <w:rsid w:val="205933AC"/>
    <w:rsid w:val="2AB76714"/>
    <w:rsid w:val="2F615CD0"/>
    <w:rsid w:val="2FEB10AD"/>
    <w:rsid w:val="35530D7A"/>
    <w:rsid w:val="391B3FF5"/>
    <w:rsid w:val="39A4399B"/>
    <w:rsid w:val="3DD55FC3"/>
    <w:rsid w:val="43510C75"/>
    <w:rsid w:val="49995211"/>
    <w:rsid w:val="4DDA713E"/>
    <w:rsid w:val="5115504D"/>
    <w:rsid w:val="523C3135"/>
    <w:rsid w:val="59C82089"/>
    <w:rsid w:val="5C885FC1"/>
    <w:rsid w:val="5E44714E"/>
    <w:rsid w:val="5EB93293"/>
    <w:rsid w:val="6214343E"/>
    <w:rsid w:val="62CE4B79"/>
    <w:rsid w:val="63303D5C"/>
    <w:rsid w:val="686C090F"/>
    <w:rsid w:val="68B719B3"/>
    <w:rsid w:val="69DD0B5C"/>
    <w:rsid w:val="70673C13"/>
    <w:rsid w:val="73C24A71"/>
    <w:rsid w:val="77EF5676"/>
    <w:rsid w:val="7ADD2DC5"/>
    <w:rsid w:val="7BFB7503"/>
    <w:rsid w:val="7C574ADF"/>
    <w:rsid w:val="7C89317C"/>
    <w:rsid w:val="7DBF25C3"/>
    <w:rsid w:val="7DCB79EC"/>
    <w:rsid w:val="D5FF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列出段落1"/>
    <w:basedOn w:val="1"/>
    <w:qFormat/>
    <w:uiPriority w:val="99"/>
    <w:pPr>
      <w:ind w:firstLine="420" w:firstLineChars="200"/>
    </w:pPr>
    <w:rPr>
      <w:rFonts w:ascii="Calibri" w:hAnsi="Calibri" w:eastAsia="宋体" w:cs="Times New Roman"/>
    </w:rPr>
  </w:style>
  <w:style w:type="paragraph" w:customStyle="1" w:styleId="13">
    <w:name w:val="普通(网站)1"/>
    <w:basedOn w:val="1"/>
    <w:qFormat/>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14">
    <w:name w:val="普通(网站)2"/>
    <w:basedOn w:val="1"/>
    <w:qFormat/>
    <w:uiPriority w:val="0"/>
    <w:pPr>
      <w:widowControl/>
      <w:spacing w:before="100" w:beforeAutospacing="1" w:after="100" w:afterAutospacing="1"/>
      <w:jc w:val="left"/>
    </w:pPr>
    <w:rPr>
      <w:rFonts w:ascii="宋体" w:hAnsi="宋体" w:eastAsia="宋体" w:cs="宋体"/>
      <w:color w:val="666666"/>
      <w:kern w:val="0"/>
      <w:sz w:val="24"/>
      <w:szCs w:val="24"/>
    </w:rPr>
  </w:style>
  <w:style w:type="character" w:customStyle="1" w:styleId="15">
    <w:name w:val="批注框文本 Char"/>
    <w:basedOn w:val="8"/>
    <w:link w:val="2"/>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ont11"/>
    <w:basedOn w:val="8"/>
    <w:qFormat/>
    <w:uiPriority w:val="0"/>
    <w:rPr>
      <w:rFonts w:hint="eastAsia" w:ascii="宋体" w:hAnsi="宋体" w:eastAsia="宋体" w:cs="宋体"/>
      <w:b/>
      <w:color w:val="FF0000"/>
      <w:sz w:val="22"/>
      <w:szCs w:val="22"/>
      <w:u w:val="none"/>
    </w:rPr>
  </w:style>
  <w:style w:type="character" w:customStyle="1" w:styleId="18">
    <w:name w:val="font31"/>
    <w:basedOn w:val="8"/>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17432</Words>
  <Characters>18126</Characters>
  <Lines>67</Lines>
  <Paragraphs>18</Paragraphs>
  <TotalTime>10</TotalTime>
  <ScaleCrop>false</ScaleCrop>
  <LinksUpToDate>false</LinksUpToDate>
  <CharactersWithSpaces>18703</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2022-09-28T06:35:00Z</dcterms:created>
  <dc:creator>吴涓</dc:creator>
  <cp:lastModifiedBy>zwwengjt</cp:lastModifiedBy>
  <cp:lastPrinted>2022-11-04T08:32:00Z</cp:lastPrinted>
  <dcterms:modified xsi:type="dcterms:W3CDTF">2023-02-02T10:10:05Z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40E3DE0093AA470DAC2C0FC625AC3E7A</vt:lpwstr>
  </property>
</Properties>
</file>